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E20F21">
                              <w:rPr>
                                <w:b/>
                                <w:sz w:val="40"/>
                              </w:rPr>
                              <w:t>NF.2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E20F21">
                        <w:rPr>
                          <w:b/>
                          <w:sz w:val="40"/>
                        </w:rPr>
                        <w:t>NF.2</w:t>
                      </w:r>
                      <w:proofErr w:type="gramEnd"/>
                    </w:p>
                  </w:txbxContent>
                </v:textbox>
              </v:roundrect>
            </w:pict>
          </mc:Fallback>
        </mc:AlternateContent>
      </w:r>
    </w:p>
    <w:p w:rsidR="00495FBB" w:rsidRDefault="00495FBB" w:rsidP="00495FBB"/>
    <w:p w:rsidR="00495FBB" w:rsidRDefault="00495FBB" w:rsidP="00495FBB"/>
    <w:p w:rsidR="003F7834" w:rsidRPr="00FF11DE" w:rsidRDefault="00E20F21" w:rsidP="00495FBB">
      <w:pPr>
        <w:rPr>
          <w:rFonts w:ascii="Arial" w:hAnsi="Arial" w:cs="Arial"/>
          <w:b/>
          <w:sz w:val="24"/>
          <w:szCs w:val="20"/>
        </w:rPr>
      </w:pPr>
      <w:r>
        <w:rPr>
          <w:rFonts w:ascii="Arial" w:hAnsi="Arial" w:cs="Arial"/>
          <w:b/>
          <w:sz w:val="24"/>
          <w:szCs w:val="20"/>
        </w:rPr>
        <w:t>Extend understanding of fraction equivalence and ordering.</w:t>
      </w:r>
    </w:p>
    <w:p w:rsidR="0008104C" w:rsidRPr="00506C6D" w:rsidRDefault="0008104C" w:rsidP="00495FBB">
      <w:pPr>
        <w:rPr>
          <w:rFonts w:ascii="Arial" w:hAnsi="Arial" w:cs="Arial"/>
        </w:rPr>
      </w:pPr>
      <w:proofErr w:type="gramStart"/>
      <w:r>
        <w:rPr>
          <w:rFonts w:ascii="Arial" w:hAnsi="Arial" w:cs="Arial"/>
        </w:rPr>
        <w:t>4.</w:t>
      </w:r>
      <w:r w:rsidR="00E20F21">
        <w:rPr>
          <w:rFonts w:ascii="Arial" w:hAnsi="Arial" w:cs="Arial"/>
        </w:rPr>
        <w:t>NF.2</w:t>
      </w:r>
      <w:proofErr w:type="gramEnd"/>
      <w:r w:rsidR="00E20F21">
        <w:rPr>
          <w:rFonts w:ascii="Arial" w:hAnsi="Arial" w:cs="Arial"/>
        </w:rPr>
        <w:t xml:space="preserve"> Compare two fractions with different numerators and different denominators, e.g., by creating </w:t>
      </w:r>
      <w:r w:rsidR="00E20F21" w:rsidRPr="00A91E4D">
        <w:rPr>
          <w:rFonts w:ascii="Arial" w:hAnsi="Arial" w:cs="Arial"/>
          <w:highlight w:val="yellow"/>
        </w:rPr>
        <w:t>common denominators or numerators</w:t>
      </w:r>
      <w:r w:rsidR="00E20F21">
        <w:rPr>
          <w:rFonts w:ascii="Arial" w:hAnsi="Arial" w:cs="Arial"/>
        </w:rPr>
        <w:t xml:space="preserve">, or by comparing to a </w:t>
      </w:r>
      <w:r w:rsidR="00E20F21" w:rsidRPr="00A91E4D">
        <w:rPr>
          <w:rFonts w:ascii="Arial" w:hAnsi="Arial" w:cs="Arial"/>
          <w:highlight w:val="yellow"/>
        </w:rPr>
        <w:t>benchmark fraction</w:t>
      </w:r>
      <w:r w:rsidR="00E20F21">
        <w:rPr>
          <w:rFonts w:ascii="Arial" w:hAnsi="Arial" w:cs="Arial"/>
        </w:rPr>
        <w:t xml:space="preserve"> such as ½.  Recognize that comparisons are valid only when the two fractions refer to the same whole.  Record the results of comparisons with symbols &gt;, =, or &lt;, and justify the conclusions, e.g., by using a </w:t>
      </w:r>
      <w:r w:rsidR="00E20F21" w:rsidRPr="00A91E4D">
        <w:rPr>
          <w:rFonts w:ascii="Arial" w:hAnsi="Arial" w:cs="Arial"/>
          <w:highlight w:val="yellow"/>
        </w:rPr>
        <w:t>visual fraction model</w:t>
      </w:r>
      <w:r w:rsidR="00E20F21">
        <w:rPr>
          <w:rFonts w:ascii="Arial" w:hAnsi="Arial" w:cs="Arial"/>
        </w:rPr>
        <w:t xml:space="preserve">. </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160BF7" w:rsidP="00495FBB">
                            <w:pPr>
                              <w:rPr>
                                <w:b/>
                                <w:color w:val="FFFFFF" w:themeColor="background1"/>
                                <w:sz w:val="40"/>
                                <w:szCs w:val="40"/>
                              </w:rPr>
                            </w:pPr>
                            <w:r>
                              <w:rPr>
                                <w:b/>
                                <w:color w:val="FFFFFF" w:themeColor="background1"/>
                                <w:sz w:val="40"/>
                                <w:szCs w:val="40"/>
                              </w:rPr>
                              <w:t>Common Numerator, Benchmark Fraction,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160BF7" w:rsidP="00495FBB">
                      <w:pPr>
                        <w:rPr>
                          <w:b/>
                          <w:color w:val="FFFFFF" w:themeColor="background1"/>
                          <w:sz w:val="40"/>
                          <w:szCs w:val="40"/>
                        </w:rPr>
                      </w:pPr>
                      <w:r>
                        <w:rPr>
                          <w:b/>
                          <w:color w:val="FFFFFF" w:themeColor="background1"/>
                          <w:sz w:val="40"/>
                          <w:szCs w:val="40"/>
                        </w:rPr>
                        <w:t>Common Numerator, Benchmark Fraction, Models</w:t>
                      </w:r>
                    </w:p>
                  </w:txbxContent>
                </v:textbox>
              </v:roundrect>
            </w:pict>
          </mc:Fallback>
        </mc:AlternateContent>
      </w:r>
    </w:p>
    <w:p w:rsidR="00495FBB" w:rsidRDefault="00495FBB" w:rsidP="00495FBB"/>
    <w:p w:rsidR="00D06C46" w:rsidRDefault="00D06C46" w:rsidP="00D06C46">
      <w:pPr>
        <w:rPr>
          <w:rFonts w:ascii="Arial" w:hAnsi="Arial" w:cs="Arial"/>
        </w:rPr>
      </w:pPr>
    </w:p>
    <w:p w:rsidR="0002158F" w:rsidRDefault="0002158F" w:rsidP="007B1CBA">
      <w:pPr>
        <w:tabs>
          <w:tab w:val="left" w:pos="8280"/>
        </w:tabs>
        <w:autoSpaceDE w:val="0"/>
        <w:autoSpaceDN w:val="0"/>
        <w:adjustRightInd w:val="0"/>
        <w:spacing w:after="0" w:line="240" w:lineRule="auto"/>
        <w:ind w:right="540"/>
        <w:rPr>
          <w:rFonts w:ascii="Arial" w:hAnsi="Arial" w:cs="Arial"/>
          <w:b/>
          <w:bCs/>
        </w:rPr>
      </w:pPr>
    </w:p>
    <w:p w:rsidR="00160BF7" w:rsidRDefault="00160BF7" w:rsidP="007B1CBA">
      <w:pPr>
        <w:tabs>
          <w:tab w:val="left" w:pos="8280"/>
        </w:tabs>
        <w:autoSpaceDE w:val="0"/>
        <w:autoSpaceDN w:val="0"/>
        <w:adjustRightInd w:val="0"/>
        <w:spacing w:after="0" w:line="240" w:lineRule="auto"/>
        <w:ind w:right="540"/>
        <w:rPr>
          <w:rFonts w:ascii="Arial" w:hAnsi="Arial" w:cs="Arial"/>
          <w:bCs/>
        </w:rPr>
      </w:pPr>
      <w:r>
        <w:rPr>
          <w:rFonts w:ascii="Arial" w:hAnsi="Arial" w:cs="Arial"/>
          <w:bCs/>
        </w:rPr>
        <w:t xml:space="preserve">In fourth grade students should be given plenty of opportunity to use models to compare fractions.  They should not be expected or pushed to use any kind of standard algorithm.  It is also important to discuss the meaning of comparisons and to explain why fractions need to be referring to the same whole.  There is difference between someone getting ½ the fries from a small fry and ½ the fries from a large fry. Encourage student discussion around this idea.  </w:t>
      </w:r>
    </w:p>
    <w:p w:rsidR="00116EBA" w:rsidRDefault="00116EBA" w:rsidP="007B1CBA">
      <w:pPr>
        <w:tabs>
          <w:tab w:val="left" w:pos="8280"/>
        </w:tabs>
        <w:autoSpaceDE w:val="0"/>
        <w:autoSpaceDN w:val="0"/>
        <w:adjustRightInd w:val="0"/>
        <w:spacing w:after="0" w:line="240" w:lineRule="auto"/>
        <w:ind w:right="540"/>
        <w:rPr>
          <w:rFonts w:ascii="Arial" w:hAnsi="Arial" w:cs="Arial"/>
          <w:bCs/>
        </w:rPr>
      </w:pPr>
    </w:p>
    <w:p w:rsidR="00116EBA" w:rsidRDefault="00116EBA" w:rsidP="00116EBA">
      <w:pPr>
        <w:tabs>
          <w:tab w:val="left" w:pos="8280"/>
        </w:tabs>
        <w:autoSpaceDE w:val="0"/>
        <w:autoSpaceDN w:val="0"/>
        <w:adjustRightInd w:val="0"/>
        <w:spacing w:after="0" w:line="240" w:lineRule="auto"/>
        <w:ind w:left="-720" w:right="540"/>
        <w:rPr>
          <w:rFonts w:ascii="Arial" w:hAnsi="Arial" w:cs="Arial"/>
          <w:bCs/>
        </w:rPr>
      </w:pPr>
      <w:r>
        <w:rPr>
          <w:rFonts w:ascii="Arial" w:hAnsi="Arial" w:cs="Arial"/>
          <w:bCs/>
          <w:noProof/>
        </w:rPr>
        <w:lastRenderedPageBreak/>
        <w:drawing>
          <wp:inline distT="0" distB="0" distL="0" distR="0">
            <wp:extent cx="7198510" cy="3382974"/>
            <wp:effectExtent l="0" t="0" r="254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2 example 5.PNG"/>
                    <pic:cNvPicPr/>
                  </pic:nvPicPr>
                  <pic:blipFill>
                    <a:blip r:embed="rId6">
                      <a:extLst>
                        <a:ext uri="{28A0092B-C50C-407E-A947-70E740481C1C}">
                          <a14:useLocalDpi xmlns:a14="http://schemas.microsoft.com/office/drawing/2010/main" val="0"/>
                        </a:ext>
                      </a:extLst>
                    </a:blip>
                    <a:stretch>
                      <a:fillRect/>
                    </a:stretch>
                  </pic:blipFill>
                  <pic:spPr>
                    <a:xfrm>
                      <a:off x="0" y="0"/>
                      <a:ext cx="7195514" cy="3381566"/>
                    </a:xfrm>
                    <a:prstGeom prst="rect">
                      <a:avLst/>
                    </a:prstGeom>
                  </pic:spPr>
                </pic:pic>
              </a:graphicData>
            </a:graphic>
          </wp:inline>
        </w:drawing>
      </w:r>
    </w:p>
    <w:p w:rsidR="00116EBA" w:rsidRDefault="00453937" w:rsidP="007B1CBA">
      <w:pPr>
        <w:tabs>
          <w:tab w:val="left" w:pos="8280"/>
        </w:tabs>
        <w:autoSpaceDE w:val="0"/>
        <w:autoSpaceDN w:val="0"/>
        <w:adjustRightInd w:val="0"/>
        <w:spacing w:after="0" w:line="240" w:lineRule="auto"/>
        <w:ind w:right="540"/>
        <w:rPr>
          <w:rFonts w:ascii="Arial" w:hAnsi="Arial" w:cs="Arial"/>
          <w:bCs/>
        </w:rPr>
      </w:pPr>
      <w:hyperlink r:id="rId7" w:history="1">
        <w:r w:rsidR="00116EBA" w:rsidRPr="00BB273A">
          <w:rPr>
            <w:rStyle w:val="Hyperlink"/>
            <w:rFonts w:ascii="Arial" w:hAnsi="Arial" w:cs="Arial"/>
            <w:bCs/>
          </w:rPr>
          <w:t>https://grade4commoncoremath.wikispaces.hcpss.org/4.NF.2</w:t>
        </w:r>
      </w:hyperlink>
    </w:p>
    <w:p w:rsidR="00116EBA" w:rsidRDefault="00116EBA" w:rsidP="007B1CBA">
      <w:pPr>
        <w:tabs>
          <w:tab w:val="left" w:pos="8280"/>
        </w:tabs>
        <w:autoSpaceDE w:val="0"/>
        <w:autoSpaceDN w:val="0"/>
        <w:adjustRightInd w:val="0"/>
        <w:spacing w:after="0" w:line="240" w:lineRule="auto"/>
        <w:ind w:right="540"/>
        <w:rPr>
          <w:rFonts w:ascii="Arial" w:hAnsi="Arial" w:cs="Arial"/>
          <w:bCs/>
        </w:rPr>
      </w:pPr>
    </w:p>
    <w:p w:rsidR="00116EBA" w:rsidRPr="00160BF7" w:rsidRDefault="00116EBA" w:rsidP="007B1CBA">
      <w:pPr>
        <w:tabs>
          <w:tab w:val="left" w:pos="8280"/>
        </w:tabs>
        <w:autoSpaceDE w:val="0"/>
        <w:autoSpaceDN w:val="0"/>
        <w:adjustRightInd w:val="0"/>
        <w:spacing w:after="0" w:line="240" w:lineRule="auto"/>
        <w:ind w:right="540"/>
        <w:rPr>
          <w:rFonts w:ascii="Arial" w:hAnsi="Arial" w:cs="Arial"/>
          <w:bCs/>
        </w:rPr>
      </w:pPr>
    </w:p>
    <w:p w:rsidR="00160BF7" w:rsidRDefault="00160BF7" w:rsidP="007B1CBA">
      <w:pPr>
        <w:tabs>
          <w:tab w:val="left" w:pos="8280"/>
        </w:tabs>
        <w:autoSpaceDE w:val="0"/>
        <w:autoSpaceDN w:val="0"/>
        <w:adjustRightInd w:val="0"/>
        <w:spacing w:after="0" w:line="240" w:lineRule="auto"/>
        <w:ind w:right="540"/>
        <w:rPr>
          <w:rFonts w:ascii="Arial" w:hAnsi="Arial" w:cs="Arial"/>
          <w:b/>
          <w:bCs/>
        </w:rPr>
      </w:pPr>
      <w:r>
        <w:rPr>
          <w:rFonts w:ascii="Arial" w:hAnsi="Arial" w:cs="Arial"/>
          <w:b/>
          <w:bCs/>
        </w:rPr>
        <w:t xml:space="preserve">Below are some examples of comparing fractions using a variety of </w:t>
      </w:r>
      <w:proofErr w:type="gramStart"/>
      <w:r>
        <w:rPr>
          <w:rFonts w:ascii="Arial" w:hAnsi="Arial" w:cs="Arial"/>
          <w:b/>
          <w:bCs/>
        </w:rPr>
        <w:t>models:</w:t>
      </w:r>
      <w:proofErr w:type="gramEnd"/>
    </w:p>
    <w:p w:rsidR="00160BF7" w:rsidRDefault="00160BF7" w:rsidP="007B1CBA">
      <w:pPr>
        <w:tabs>
          <w:tab w:val="left" w:pos="8280"/>
        </w:tabs>
        <w:autoSpaceDE w:val="0"/>
        <w:autoSpaceDN w:val="0"/>
        <w:adjustRightInd w:val="0"/>
        <w:spacing w:after="0" w:line="240" w:lineRule="auto"/>
        <w:ind w:right="540"/>
        <w:rPr>
          <w:rFonts w:ascii="Arial" w:hAnsi="Arial" w:cs="Arial"/>
          <w:b/>
          <w:bCs/>
        </w:rPr>
      </w:pPr>
    </w:p>
    <w:p w:rsidR="00160BF7" w:rsidRDefault="00477EB3" w:rsidP="007B1CBA">
      <w:pPr>
        <w:tabs>
          <w:tab w:val="left" w:pos="8280"/>
        </w:tabs>
        <w:autoSpaceDE w:val="0"/>
        <w:autoSpaceDN w:val="0"/>
        <w:adjustRightInd w:val="0"/>
        <w:spacing w:after="0" w:line="240" w:lineRule="auto"/>
        <w:ind w:right="540"/>
        <w:rPr>
          <w:rFonts w:ascii="Arial" w:hAnsi="Arial" w:cs="Arial"/>
          <w:b/>
          <w:bCs/>
        </w:rPr>
      </w:pPr>
      <w:r>
        <w:rPr>
          <w:rFonts w:ascii="Arial" w:hAnsi="Arial" w:cs="Arial"/>
          <w:b/>
          <w:bCs/>
        </w:rPr>
        <w:t>Example:</w:t>
      </w:r>
    </w:p>
    <w:p w:rsidR="00477EB3" w:rsidRPr="00477EB3" w:rsidRDefault="00477EB3" w:rsidP="007B1CBA">
      <w:pPr>
        <w:tabs>
          <w:tab w:val="left" w:pos="8280"/>
        </w:tabs>
        <w:autoSpaceDE w:val="0"/>
        <w:autoSpaceDN w:val="0"/>
        <w:adjustRightInd w:val="0"/>
        <w:spacing w:after="0" w:line="240" w:lineRule="auto"/>
        <w:ind w:right="540"/>
        <w:rPr>
          <w:rFonts w:ascii="Arial" w:hAnsi="Arial" w:cs="Arial"/>
          <w:bCs/>
        </w:rPr>
      </w:pPr>
      <w:r>
        <w:rPr>
          <w:rFonts w:ascii="Arial" w:hAnsi="Arial" w:cs="Arial"/>
          <w:bCs/>
        </w:rPr>
        <w:t>Both Melisa and Nancy shaded 1/3 of their grids, but they are not comparing the same whole.  Discuss the consequence of this concept with the class.</w:t>
      </w:r>
    </w:p>
    <w:p w:rsidR="00160BF7" w:rsidRDefault="00160BF7" w:rsidP="00757685">
      <w:pPr>
        <w:autoSpaceDE w:val="0"/>
        <w:autoSpaceDN w:val="0"/>
        <w:adjustRightInd w:val="0"/>
        <w:spacing w:after="0" w:line="240" w:lineRule="auto"/>
        <w:ind w:right="540"/>
        <w:rPr>
          <w:rFonts w:ascii="Arial" w:hAnsi="Arial" w:cs="Arial"/>
        </w:rPr>
      </w:pPr>
    </w:p>
    <w:p w:rsidR="00160BF7" w:rsidRDefault="00160BF7" w:rsidP="00757685">
      <w:pPr>
        <w:autoSpaceDE w:val="0"/>
        <w:autoSpaceDN w:val="0"/>
        <w:adjustRightInd w:val="0"/>
        <w:spacing w:after="0" w:line="240" w:lineRule="auto"/>
        <w:ind w:right="540"/>
        <w:rPr>
          <w:rFonts w:ascii="Arial" w:hAnsi="Arial" w:cs="Arial"/>
          <w:b/>
          <w:bCs/>
        </w:rPr>
      </w:pPr>
      <w:r>
        <w:rPr>
          <w:rFonts w:ascii="Arial" w:hAnsi="Arial" w:cs="Arial"/>
          <w:b/>
          <w:bCs/>
          <w:noProof/>
        </w:rPr>
        <w:drawing>
          <wp:inline distT="0" distB="0" distL="0" distR="0">
            <wp:extent cx="6132217" cy="3253839"/>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2 example 1.PNG"/>
                    <pic:cNvPicPr/>
                  </pic:nvPicPr>
                  <pic:blipFill rotWithShape="1">
                    <a:blip r:embed="rId8">
                      <a:extLst>
                        <a:ext uri="{28A0092B-C50C-407E-A947-70E740481C1C}">
                          <a14:useLocalDpi xmlns:a14="http://schemas.microsoft.com/office/drawing/2010/main" val="0"/>
                        </a:ext>
                      </a:extLst>
                    </a:blip>
                    <a:srcRect t="24100"/>
                    <a:stretch/>
                  </pic:blipFill>
                  <pic:spPr bwMode="auto">
                    <a:xfrm>
                      <a:off x="0" y="0"/>
                      <a:ext cx="6152787" cy="3264753"/>
                    </a:xfrm>
                    <a:prstGeom prst="rect">
                      <a:avLst/>
                    </a:prstGeom>
                    <a:ln>
                      <a:noFill/>
                    </a:ln>
                    <a:extLst>
                      <a:ext uri="{53640926-AAD7-44D8-BBD7-CCE9431645EC}">
                        <a14:shadowObscured xmlns:a14="http://schemas.microsoft.com/office/drawing/2010/main"/>
                      </a:ext>
                    </a:extLst>
                  </pic:spPr>
                </pic:pic>
              </a:graphicData>
            </a:graphic>
          </wp:inline>
        </w:drawing>
      </w:r>
    </w:p>
    <w:p w:rsidR="00160BF7" w:rsidRDefault="00160BF7" w:rsidP="00757685">
      <w:pPr>
        <w:autoSpaceDE w:val="0"/>
        <w:autoSpaceDN w:val="0"/>
        <w:adjustRightInd w:val="0"/>
        <w:spacing w:after="0" w:line="240" w:lineRule="auto"/>
        <w:ind w:right="540"/>
        <w:rPr>
          <w:rFonts w:ascii="Arial" w:hAnsi="Arial" w:cs="Arial"/>
          <w:b/>
          <w:bCs/>
        </w:rPr>
      </w:pPr>
      <w:r>
        <w:rPr>
          <w:rFonts w:ascii="Arial" w:hAnsi="Arial" w:cs="Arial"/>
          <w:b/>
          <w:bCs/>
          <w:noProof/>
        </w:rPr>
        <w:lastRenderedPageBreak/>
        <w:drawing>
          <wp:inline distT="0" distB="0" distL="0" distR="0">
            <wp:extent cx="6360475" cy="1116281"/>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2 example 2.PNG"/>
                    <pic:cNvPicPr/>
                  </pic:nvPicPr>
                  <pic:blipFill>
                    <a:blip r:embed="rId9">
                      <a:extLst>
                        <a:ext uri="{28A0092B-C50C-407E-A947-70E740481C1C}">
                          <a14:useLocalDpi xmlns:a14="http://schemas.microsoft.com/office/drawing/2010/main" val="0"/>
                        </a:ext>
                      </a:extLst>
                    </a:blip>
                    <a:stretch>
                      <a:fillRect/>
                    </a:stretch>
                  </pic:blipFill>
                  <pic:spPr>
                    <a:xfrm>
                      <a:off x="0" y="0"/>
                      <a:ext cx="6361365" cy="1116437"/>
                    </a:xfrm>
                    <a:prstGeom prst="rect">
                      <a:avLst/>
                    </a:prstGeom>
                  </pic:spPr>
                </pic:pic>
              </a:graphicData>
            </a:graphic>
          </wp:inline>
        </w:drawing>
      </w:r>
    </w:p>
    <w:p w:rsidR="00160BF7" w:rsidRPr="00757685" w:rsidRDefault="00160BF7" w:rsidP="00757685">
      <w:pPr>
        <w:autoSpaceDE w:val="0"/>
        <w:autoSpaceDN w:val="0"/>
        <w:adjustRightInd w:val="0"/>
        <w:spacing w:after="0" w:line="240" w:lineRule="auto"/>
        <w:ind w:right="540"/>
        <w:rPr>
          <w:rFonts w:ascii="Arial" w:hAnsi="Arial" w:cs="Arial"/>
          <w:b/>
          <w:bCs/>
        </w:rPr>
      </w:pPr>
      <w:r>
        <w:rPr>
          <w:rFonts w:ascii="Arial" w:hAnsi="Arial" w:cs="Arial"/>
          <w:b/>
          <w:bCs/>
          <w:noProof/>
        </w:rPr>
        <w:lastRenderedPageBreak/>
        <w:drawing>
          <wp:inline distT="0" distB="0" distL="0" distR="0">
            <wp:extent cx="3942608" cy="210189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2 example 3.PNG"/>
                    <pic:cNvPicPr/>
                  </pic:nvPicPr>
                  <pic:blipFill>
                    <a:blip r:embed="rId10">
                      <a:extLst>
                        <a:ext uri="{28A0092B-C50C-407E-A947-70E740481C1C}">
                          <a14:useLocalDpi xmlns:a14="http://schemas.microsoft.com/office/drawing/2010/main" val="0"/>
                        </a:ext>
                      </a:extLst>
                    </a:blip>
                    <a:stretch>
                      <a:fillRect/>
                    </a:stretch>
                  </pic:blipFill>
                  <pic:spPr>
                    <a:xfrm>
                      <a:off x="0" y="0"/>
                      <a:ext cx="3959284" cy="2110785"/>
                    </a:xfrm>
                    <a:prstGeom prst="rect">
                      <a:avLst/>
                    </a:prstGeom>
                  </pic:spPr>
                </pic:pic>
              </a:graphicData>
            </a:graphic>
          </wp:inline>
        </w:drawing>
      </w:r>
      <w:r>
        <w:rPr>
          <w:rFonts w:ascii="Arial" w:hAnsi="Arial" w:cs="Arial"/>
          <w:b/>
          <w:bCs/>
          <w:noProof/>
        </w:rPr>
        <w:drawing>
          <wp:inline distT="0" distB="0" distL="0" distR="0">
            <wp:extent cx="5937519" cy="5581403"/>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2 example 4.PNG"/>
                    <pic:cNvPicPr/>
                  </pic:nvPicPr>
                  <pic:blipFill>
                    <a:blip r:embed="rId11">
                      <a:extLst>
                        <a:ext uri="{28A0092B-C50C-407E-A947-70E740481C1C}">
                          <a14:useLocalDpi xmlns:a14="http://schemas.microsoft.com/office/drawing/2010/main" val="0"/>
                        </a:ext>
                      </a:extLst>
                    </a:blip>
                    <a:stretch>
                      <a:fillRect/>
                    </a:stretch>
                  </pic:blipFill>
                  <pic:spPr>
                    <a:xfrm>
                      <a:off x="0" y="0"/>
                      <a:ext cx="5942430" cy="5586019"/>
                    </a:xfrm>
                    <a:prstGeom prst="rect">
                      <a:avLst/>
                    </a:prstGeom>
                  </pic:spPr>
                </pic:pic>
              </a:graphicData>
            </a:graphic>
          </wp:inline>
        </w:drawing>
      </w:r>
    </w:p>
    <w:p w:rsidR="00AC6F7D" w:rsidRPr="00BB288A" w:rsidRDefault="00AC6F7D" w:rsidP="00160BF7">
      <w:pPr>
        <w:autoSpaceDE w:val="0"/>
        <w:autoSpaceDN w:val="0"/>
        <w:adjustRightInd w:val="0"/>
        <w:spacing w:after="0" w:line="240" w:lineRule="auto"/>
        <w:ind w:right="540"/>
        <w:rPr>
          <w:rFonts w:ascii="Arial" w:hAnsi="Arial" w:cs="Arial"/>
          <w:b/>
          <w:bCs/>
        </w:rPr>
      </w:pPr>
    </w:p>
    <w:p w:rsidR="00AC6F7D" w:rsidRPr="00AC6F7D" w:rsidRDefault="00AC6F7D" w:rsidP="007B1CBA">
      <w:pPr>
        <w:autoSpaceDE w:val="0"/>
        <w:autoSpaceDN w:val="0"/>
        <w:adjustRightInd w:val="0"/>
        <w:spacing w:after="0" w:line="240" w:lineRule="auto"/>
        <w:ind w:right="-540"/>
        <w:rPr>
          <w:rFonts w:ascii="Verdana" w:hAnsi="Verdana" w:cs="Verdana"/>
        </w:rPr>
      </w:pPr>
    </w:p>
    <w:p w:rsidR="00453937" w:rsidRPr="00754291" w:rsidRDefault="00453937" w:rsidP="00453937">
      <w:pPr>
        <w:ind w:left="720" w:hanging="720"/>
        <w:rPr>
          <w:rFonts w:ascii="Arial" w:hAnsi="Arial" w:cs="Arial"/>
        </w:rPr>
      </w:pPr>
      <w:proofErr w:type="gramStart"/>
      <w:r w:rsidRPr="00754291">
        <w:rPr>
          <w:rFonts w:ascii="Arial" w:eastAsia="Times New Roman" w:hAnsi="Arial" w:cs="Arial"/>
        </w:rPr>
        <w:lastRenderedPageBreak/>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2"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3" w:history="1">
        <w:r w:rsidRPr="008124FA">
          <w:rPr>
            <w:rStyle w:val="Hyperlink"/>
            <w:rFonts w:ascii="Arial" w:hAnsi="Arial" w:cs="Arial"/>
          </w:rPr>
          <w:t>http://katm.org/wp/wp-content/uploads/flipbooks/4FlipBookedited.pdf</w:t>
        </w:r>
      </w:hyperlink>
    </w:p>
    <w:p w:rsidR="00495FBB" w:rsidRPr="00477EB3" w:rsidRDefault="00495FBB" w:rsidP="00495FBB">
      <w:pPr>
        <w:rPr>
          <w:rFonts w:ascii="Arial" w:hAnsi="Arial" w:cs="Arial"/>
        </w:rPr>
      </w:pPr>
    </w:p>
    <w:p w:rsidR="002916E8" w:rsidRDefault="002916E8" w:rsidP="007B1CBA">
      <w:pPr>
        <w:ind w:left="540"/>
        <w:rPr>
          <w:rFonts w:ascii="Arial" w:eastAsiaTheme="minorEastAsia" w:hAnsi="Arial" w:cs="Arial"/>
          <w:iCs/>
        </w:rPr>
      </w:pPr>
      <w:r>
        <w:rPr>
          <w:rFonts w:ascii="Arial" w:hAnsi="Arial" w:cs="Arial"/>
          <w:iCs/>
        </w:rPr>
        <w:t>Grade 4 students use their understanding of equivalent fractions to compare fractions with different numerators and different denominators (</w:t>
      </w:r>
      <w:r w:rsidRPr="002916E8">
        <w:rPr>
          <w:rFonts w:ascii="Arial" w:hAnsi="Arial" w:cs="Arial"/>
          <w:b/>
          <w:iCs/>
        </w:rPr>
        <w:t>4.NF.2</w:t>
      </w:r>
      <w:r>
        <w:rPr>
          <w:rFonts w:ascii="Arial" w:hAnsi="Arial" w:cs="Arial"/>
          <w:iCs/>
        </w:rPr>
        <w:t xml:space="preserve">).  For example, to compare </w:t>
      </w:r>
      <m:oMath>
        <m:f>
          <m:fPr>
            <m:ctrlPr>
              <w:rPr>
                <w:rFonts w:ascii="Cambria Math" w:hAnsi="Cambria Math" w:cs="Arial"/>
                <w:i/>
                <w:iCs/>
              </w:rPr>
            </m:ctrlPr>
          </m:fPr>
          <m:num>
            <m:r>
              <w:rPr>
                <w:rFonts w:ascii="Cambria Math" w:hAnsi="Cambria Math" w:cs="Arial"/>
              </w:rPr>
              <m:t>5</m:t>
            </m:r>
          </m:num>
          <m:den>
            <m:r>
              <w:rPr>
                <w:rFonts w:ascii="Cambria Math" w:hAnsi="Cambria Math" w:cs="Arial"/>
              </w:rPr>
              <m:t>8</m:t>
            </m:r>
          </m:den>
        </m:f>
      </m:oMath>
      <w:r>
        <w:rPr>
          <w:rFonts w:ascii="Arial" w:eastAsiaTheme="minorEastAsia" w:hAnsi="Arial" w:cs="Arial"/>
          <w:iCs/>
        </w:rPr>
        <w:t xml:space="preserve"> and </w:t>
      </w:r>
      <m:oMath>
        <m:f>
          <m:fPr>
            <m:ctrlPr>
              <w:rPr>
                <w:rFonts w:ascii="Cambria Math" w:eastAsiaTheme="minorEastAsia" w:hAnsi="Cambria Math" w:cs="Arial"/>
                <w:i/>
                <w:iCs/>
              </w:rPr>
            </m:ctrlPr>
          </m:fPr>
          <m:num>
            <m:r>
              <w:rPr>
                <w:rFonts w:ascii="Cambria Math" w:eastAsiaTheme="minorEastAsia" w:hAnsi="Cambria Math" w:cs="Arial"/>
              </w:rPr>
              <m:t>7</m:t>
            </m:r>
          </m:num>
          <m:den>
            <m:r>
              <w:rPr>
                <w:rFonts w:ascii="Cambria Math" w:eastAsiaTheme="minorEastAsia" w:hAnsi="Cambria Math" w:cs="Arial"/>
              </w:rPr>
              <m:t>12</m:t>
            </m:r>
          </m:den>
        </m:f>
      </m:oMath>
      <w:r>
        <w:rPr>
          <w:rFonts w:ascii="Arial" w:eastAsiaTheme="minorEastAsia" w:hAnsi="Arial" w:cs="Arial"/>
          <w:iCs/>
        </w:rPr>
        <w:t xml:space="preserve"> they rewrite both fractions as </w:t>
      </w:r>
      <m:oMath>
        <m:f>
          <m:fPr>
            <m:ctrlPr>
              <w:rPr>
                <w:rFonts w:ascii="Cambria Math" w:eastAsiaTheme="minorEastAsia" w:hAnsi="Cambria Math" w:cs="Arial"/>
                <w:i/>
                <w:iCs/>
              </w:rPr>
            </m:ctrlPr>
          </m:fPr>
          <m:num>
            <m:r>
              <w:rPr>
                <w:rFonts w:ascii="Cambria Math" w:eastAsiaTheme="minorEastAsia" w:hAnsi="Cambria Math" w:cs="Arial"/>
              </w:rPr>
              <m:t>60</m:t>
            </m:r>
          </m:num>
          <m:den>
            <m:r>
              <w:rPr>
                <w:rFonts w:ascii="Cambria Math" w:eastAsiaTheme="minorEastAsia" w:hAnsi="Cambria Math" w:cs="Arial"/>
              </w:rPr>
              <m:t>96</m:t>
            </m:r>
          </m:den>
        </m:f>
        <m:d>
          <m:dPr>
            <m:ctrlPr>
              <w:rPr>
                <w:rFonts w:ascii="Cambria Math" w:eastAsiaTheme="minorEastAsia" w:hAnsi="Cambria Math" w:cs="Arial"/>
                <w:i/>
                <w:iCs/>
              </w:rPr>
            </m:ctrlPr>
          </m:dPr>
          <m:e>
            <m:r>
              <w:rPr>
                <w:rFonts w:ascii="Cambria Math" w:eastAsiaTheme="minorEastAsia" w:hAnsi="Cambria Math" w:cs="Arial"/>
              </w:rPr>
              <m:t>=</m:t>
            </m:r>
            <m:f>
              <m:fPr>
                <m:ctrlPr>
                  <w:rPr>
                    <w:rFonts w:ascii="Cambria Math" w:eastAsiaTheme="minorEastAsia" w:hAnsi="Cambria Math" w:cs="Arial"/>
                    <w:i/>
                    <w:iCs/>
                  </w:rPr>
                </m:ctrlPr>
              </m:fPr>
              <m:num>
                <m:r>
                  <w:rPr>
                    <w:rFonts w:ascii="Cambria Math" w:eastAsiaTheme="minorEastAsia" w:hAnsi="Cambria Math" w:cs="Arial"/>
                  </w:rPr>
                  <m:t>12 x 5</m:t>
                </m:r>
              </m:num>
              <m:den>
                <m:r>
                  <w:rPr>
                    <w:rFonts w:ascii="Cambria Math" w:eastAsiaTheme="minorEastAsia" w:hAnsi="Cambria Math" w:cs="Arial"/>
                  </w:rPr>
                  <m:t>12 x 8</m:t>
                </m:r>
              </m:den>
            </m:f>
          </m:e>
        </m:d>
      </m:oMath>
      <w:r>
        <w:rPr>
          <w:rFonts w:ascii="Arial" w:eastAsiaTheme="minorEastAsia" w:hAnsi="Arial" w:cs="Arial"/>
          <w:iCs/>
        </w:rPr>
        <w:t xml:space="preserve"> </w:t>
      </w:r>
      <w:proofErr w:type="gramStart"/>
      <w:r>
        <w:rPr>
          <w:rFonts w:ascii="Arial" w:eastAsiaTheme="minorEastAsia" w:hAnsi="Arial" w:cs="Arial"/>
          <w:iCs/>
        </w:rPr>
        <w:t xml:space="preserve">and </w:t>
      </w:r>
      <w:proofErr w:type="gramEnd"/>
      <w:r w:rsidR="00625986">
        <w:rPr>
          <w:rFonts w:ascii="Arial" w:eastAsiaTheme="minorEastAsia" w:hAnsi="Arial" w:cs="Arial"/>
          <w:iCs/>
        </w:rPr>
        <w:br/>
      </w:r>
      <m:oMath>
        <m:f>
          <m:fPr>
            <m:ctrlPr>
              <w:rPr>
                <w:rFonts w:ascii="Cambria Math" w:eastAsiaTheme="minorEastAsia" w:hAnsi="Cambria Math" w:cs="Arial"/>
                <w:i/>
                <w:iCs/>
              </w:rPr>
            </m:ctrlPr>
          </m:fPr>
          <m:num>
            <m:r>
              <w:rPr>
                <w:rFonts w:ascii="Cambria Math" w:eastAsiaTheme="minorEastAsia" w:hAnsi="Cambria Math" w:cs="Arial"/>
              </w:rPr>
              <m:t>56</m:t>
            </m:r>
          </m:num>
          <m:den>
            <m:r>
              <w:rPr>
                <w:rFonts w:ascii="Cambria Math" w:eastAsiaTheme="minorEastAsia" w:hAnsi="Cambria Math" w:cs="Arial"/>
              </w:rPr>
              <m:t>96</m:t>
            </m:r>
          </m:den>
        </m:f>
        <m:d>
          <m:dPr>
            <m:ctrlPr>
              <w:rPr>
                <w:rFonts w:ascii="Cambria Math" w:eastAsiaTheme="minorEastAsia" w:hAnsi="Cambria Math" w:cs="Arial"/>
                <w:i/>
                <w:iCs/>
              </w:rPr>
            </m:ctrlPr>
          </m:dPr>
          <m:e>
            <m:r>
              <w:rPr>
                <w:rFonts w:ascii="Cambria Math" w:eastAsiaTheme="minorEastAsia" w:hAnsi="Cambria Math" w:cs="Arial"/>
              </w:rPr>
              <m:t>=</m:t>
            </m:r>
            <m:f>
              <m:fPr>
                <m:ctrlPr>
                  <w:rPr>
                    <w:rFonts w:ascii="Cambria Math" w:eastAsiaTheme="minorEastAsia" w:hAnsi="Cambria Math" w:cs="Arial"/>
                    <w:i/>
                    <w:iCs/>
                  </w:rPr>
                </m:ctrlPr>
              </m:fPr>
              <m:num>
                <m:r>
                  <w:rPr>
                    <w:rFonts w:ascii="Cambria Math" w:eastAsiaTheme="minorEastAsia" w:hAnsi="Cambria Math" w:cs="Arial"/>
                  </w:rPr>
                  <m:t>7 x 8</m:t>
                </m:r>
              </m:num>
              <m:den>
                <m:r>
                  <w:rPr>
                    <w:rFonts w:ascii="Cambria Math" w:eastAsiaTheme="minorEastAsia" w:hAnsi="Cambria Math" w:cs="Arial"/>
                  </w:rPr>
                  <m:t>12 x 8</m:t>
                </m:r>
              </m:den>
            </m:f>
          </m:e>
        </m:d>
      </m:oMath>
      <w:r>
        <w:rPr>
          <w:rFonts w:ascii="Arial" w:eastAsiaTheme="minorEastAsia" w:hAnsi="Arial" w:cs="Arial"/>
          <w:iCs/>
        </w:rPr>
        <w:t xml:space="preserve">.  Because </w:t>
      </w:r>
      <m:oMath>
        <m:f>
          <m:fPr>
            <m:ctrlPr>
              <w:rPr>
                <w:rFonts w:ascii="Cambria Math" w:eastAsiaTheme="minorEastAsia" w:hAnsi="Cambria Math" w:cs="Arial"/>
                <w:i/>
                <w:iCs/>
              </w:rPr>
            </m:ctrlPr>
          </m:fPr>
          <m:num>
            <m:r>
              <w:rPr>
                <w:rFonts w:ascii="Cambria Math" w:eastAsiaTheme="minorEastAsia" w:hAnsi="Cambria Math" w:cs="Arial"/>
              </w:rPr>
              <m:t>60</m:t>
            </m:r>
          </m:num>
          <m:den>
            <m:r>
              <w:rPr>
                <w:rFonts w:ascii="Cambria Math" w:eastAsiaTheme="minorEastAsia" w:hAnsi="Cambria Math" w:cs="Arial"/>
              </w:rPr>
              <m:t>96</m:t>
            </m:r>
          </m:den>
        </m:f>
      </m:oMath>
      <w:r>
        <w:rPr>
          <w:rFonts w:ascii="Arial" w:eastAsiaTheme="minorEastAsia" w:hAnsi="Arial" w:cs="Arial"/>
          <w:iCs/>
        </w:rPr>
        <w:t xml:space="preserve"> and </w:t>
      </w:r>
      <m:oMath>
        <m:f>
          <m:fPr>
            <m:ctrlPr>
              <w:rPr>
                <w:rFonts w:ascii="Cambria Math" w:eastAsiaTheme="minorEastAsia" w:hAnsi="Cambria Math" w:cs="Arial"/>
                <w:i/>
                <w:iCs/>
              </w:rPr>
            </m:ctrlPr>
          </m:fPr>
          <m:num>
            <m:r>
              <w:rPr>
                <w:rFonts w:ascii="Cambria Math" w:eastAsiaTheme="minorEastAsia" w:hAnsi="Cambria Math" w:cs="Arial"/>
              </w:rPr>
              <m:t>56</m:t>
            </m:r>
          </m:num>
          <m:den>
            <m:r>
              <w:rPr>
                <w:rFonts w:ascii="Cambria Math" w:eastAsiaTheme="minorEastAsia" w:hAnsi="Cambria Math" w:cs="Arial"/>
              </w:rPr>
              <m:t>96</m:t>
            </m:r>
          </m:den>
        </m:f>
      </m:oMath>
      <w:r>
        <w:rPr>
          <w:rFonts w:ascii="Arial" w:eastAsiaTheme="minorEastAsia" w:hAnsi="Arial" w:cs="Arial"/>
          <w:iCs/>
        </w:rPr>
        <w:t xml:space="preserve"> have the same denominator, students can compare using Grade 3 methods and see that </w:t>
      </w:r>
      <m:oMath>
        <m:f>
          <m:fPr>
            <m:ctrlPr>
              <w:rPr>
                <w:rFonts w:ascii="Cambria Math" w:eastAsiaTheme="minorEastAsia" w:hAnsi="Cambria Math" w:cs="Arial"/>
                <w:i/>
                <w:iCs/>
              </w:rPr>
            </m:ctrlPr>
          </m:fPr>
          <m:num>
            <m:r>
              <w:rPr>
                <w:rFonts w:ascii="Cambria Math" w:eastAsiaTheme="minorEastAsia" w:hAnsi="Cambria Math" w:cs="Arial"/>
              </w:rPr>
              <m:t>56</m:t>
            </m:r>
          </m:num>
          <m:den>
            <m:r>
              <w:rPr>
                <w:rFonts w:ascii="Cambria Math" w:eastAsiaTheme="minorEastAsia" w:hAnsi="Cambria Math" w:cs="Arial"/>
              </w:rPr>
              <m:t>96</m:t>
            </m:r>
          </m:den>
        </m:f>
      </m:oMath>
      <w:r w:rsidR="00477EB3">
        <w:rPr>
          <w:rFonts w:ascii="Arial" w:eastAsiaTheme="minorEastAsia" w:hAnsi="Arial" w:cs="Arial"/>
          <w:iCs/>
        </w:rPr>
        <w:t xml:space="preserve"> is smaller, so  </w:t>
      </w:r>
      <m:oMath>
        <m:f>
          <m:fPr>
            <m:ctrlPr>
              <w:rPr>
                <w:rFonts w:ascii="Cambria Math" w:eastAsiaTheme="minorEastAsia" w:hAnsi="Cambria Math" w:cs="Arial"/>
                <w:i/>
                <w:iCs/>
              </w:rPr>
            </m:ctrlPr>
          </m:fPr>
          <m:num>
            <m:r>
              <w:rPr>
                <w:rFonts w:ascii="Cambria Math" w:eastAsiaTheme="minorEastAsia" w:hAnsi="Cambria Math" w:cs="Arial"/>
              </w:rPr>
              <m:t>7</m:t>
            </m:r>
          </m:num>
          <m:den>
            <m:r>
              <w:rPr>
                <w:rFonts w:ascii="Cambria Math" w:eastAsiaTheme="minorEastAsia" w:hAnsi="Cambria Math" w:cs="Arial"/>
              </w:rPr>
              <m:t>12</m:t>
            </m:r>
          </m:den>
        </m:f>
      </m:oMath>
      <w:r>
        <w:rPr>
          <w:rFonts w:ascii="Arial" w:eastAsiaTheme="minorEastAsia" w:hAnsi="Arial" w:cs="Arial"/>
          <w:iCs/>
        </w:rPr>
        <w:t xml:space="preserve"> </w:t>
      </w:r>
      <w:proofErr w:type="gramStart"/>
      <w:r>
        <w:rPr>
          <w:rFonts w:ascii="Arial" w:eastAsiaTheme="minorEastAsia" w:hAnsi="Arial" w:cs="Arial"/>
          <w:iCs/>
        </w:rPr>
        <w:t xml:space="preserve">&lt; </w:t>
      </w:r>
      <w:proofErr w:type="gramEnd"/>
      <m:oMath>
        <m:f>
          <m:fPr>
            <m:ctrlPr>
              <w:rPr>
                <w:rFonts w:ascii="Cambria Math" w:hAnsi="Cambria Math" w:cs="Arial"/>
                <w:i/>
                <w:iCs/>
              </w:rPr>
            </m:ctrlPr>
          </m:fPr>
          <m:num>
            <m:r>
              <w:rPr>
                <w:rFonts w:ascii="Cambria Math" w:hAnsi="Cambria Math" w:cs="Arial"/>
              </w:rPr>
              <m:t>5</m:t>
            </m:r>
          </m:num>
          <m:den>
            <m:r>
              <w:rPr>
                <w:rFonts w:ascii="Cambria Math" w:hAnsi="Cambria Math" w:cs="Arial"/>
              </w:rPr>
              <m:t>8</m:t>
            </m:r>
          </m:den>
        </m:f>
        <m:r>
          <w:rPr>
            <w:rFonts w:ascii="Cambria Math" w:hAnsi="Cambria Math" w:cs="Arial"/>
          </w:rPr>
          <m:t xml:space="preserve"> </m:t>
        </m:r>
      </m:oMath>
      <w:r>
        <w:rPr>
          <w:rFonts w:ascii="Arial" w:eastAsiaTheme="minorEastAsia" w:hAnsi="Arial" w:cs="Arial"/>
          <w:iCs/>
        </w:rPr>
        <w:t xml:space="preserve">.  </w:t>
      </w:r>
    </w:p>
    <w:p w:rsidR="002916E8" w:rsidRDefault="002916E8" w:rsidP="007B1CBA">
      <w:pPr>
        <w:ind w:left="540"/>
        <w:rPr>
          <w:rFonts w:ascii="Arial" w:eastAsiaTheme="minorEastAsia" w:hAnsi="Arial" w:cs="Arial"/>
          <w:iCs/>
        </w:rPr>
      </w:pPr>
      <w:r>
        <w:rPr>
          <w:rFonts w:ascii="Arial" w:eastAsiaTheme="minorEastAsia" w:hAnsi="Arial" w:cs="Arial"/>
          <w:iCs/>
        </w:rPr>
        <w:t xml:space="preserve">Students also reason using benchmarks such as ½ and 1.  For example, they see that </w:t>
      </w:r>
      <m:oMath>
        <m:f>
          <m:fPr>
            <m:ctrlPr>
              <w:rPr>
                <w:rFonts w:ascii="Cambria Math" w:eastAsiaTheme="minorEastAsia" w:hAnsi="Cambria Math" w:cs="Arial"/>
                <w:i/>
                <w:iCs/>
              </w:rPr>
            </m:ctrlPr>
          </m:fPr>
          <m:num>
            <m:r>
              <w:rPr>
                <w:rFonts w:ascii="Cambria Math" w:eastAsiaTheme="minorEastAsia" w:hAnsi="Cambria Math" w:cs="Arial"/>
              </w:rPr>
              <m:t>7</m:t>
            </m:r>
          </m:num>
          <m:den>
            <m:r>
              <w:rPr>
                <w:rFonts w:ascii="Cambria Math" w:eastAsiaTheme="minorEastAsia" w:hAnsi="Cambria Math" w:cs="Arial"/>
              </w:rPr>
              <m:t>8</m:t>
            </m:r>
          </m:den>
        </m:f>
      </m:oMath>
      <w:r>
        <w:rPr>
          <w:rFonts w:ascii="Arial" w:eastAsiaTheme="minorEastAsia" w:hAnsi="Arial" w:cs="Arial"/>
          <w:iCs/>
        </w:rPr>
        <w:t xml:space="preserve"> &lt; </w:t>
      </w:r>
      <m:oMath>
        <m:f>
          <m:fPr>
            <m:ctrlPr>
              <w:rPr>
                <w:rFonts w:ascii="Cambria Math" w:hAnsi="Cambria Math" w:cs="Arial"/>
                <w:i/>
                <w:iCs/>
              </w:rPr>
            </m:ctrlPr>
          </m:fPr>
          <m:num>
            <m:r>
              <w:rPr>
                <w:rFonts w:ascii="Cambria Math" w:hAnsi="Cambria Math" w:cs="Arial"/>
              </w:rPr>
              <m:t>13</m:t>
            </m:r>
          </m:num>
          <m:den>
            <m:r>
              <w:rPr>
                <w:rFonts w:ascii="Cambria Math" w:hAnsi="Cambria Math" w:cs="Arial"/>
              </w:rPr>
              <m:t>12</m:t>
            </m:r>
          </m:den>
        </m:f>
      </m:oMath>
      <w:r w:rsidR="00625986">
        <w:rPr>
          <w:rFonts w:ascii="Arial" w:eastAsiaTheme="minorEastAsia" w:hAnsi="Arial" w:cs="Arial"/>
          <w:iCs/>
        </w:rPr>
        <w:t xml:space="preserve"> because </w:t>
      </w:r>
      <m:oMath>
        <m:f>
          <m:fPr>
            <m:ctrlPr>
              <w:rPr>
                <w:rFonts w:ascii="Cambria Math" w:eastAsiaTheme="minorEastAsia" w:hAnsi="Cambria Math" w:cs="Arial"/>
                <w:i/>
                <w:iCs/>
              </w:rPr>
            </m:ctrlPr>
          </m:fPr>
          <m:num>
            <m:r>
              <w:rPr>
                <w:rFonts w:ascii="Cambria Math" w:eastAsiaTheme="minorEastAsia" w:hAnsi="Cambria Math" w:cs="Arial"/>
              </w:rPr>
              <m:t>7</m:t>
            </m:r>
          </m:num>
          <m:den>
            <m:r>
              <w:rPr>
                <w:rFonts w:ascii="Cambria Math" w:eastAsiaTheme="minorEastAsia" w:hAnsi="Cambria Math" w:cs="Arial"/>
              </w:rPr>
              <m:t>8</m:t>
            </m:r>
          </m:den>
        </m:f>
      </m:oMath>
      <w:r w:rsidR="00625986">
        <w:rPr>
          <w:rFonts w:ascii="Arial" w:eastAsiaTheme="minorEastAsia" w:hAnsi="Arial" w:cs="Arial"/>
          <w:iCs/>
        </w:rPr>
        <w:t xml:space="preserve"> is less than 1 (and is therefore to the left of 1) but </w:t>
      </w:r>
      <m:oMath>
        <m:f>
          <m:fPr>
            <m:ctrlPr>
              <w:rPr>
                <w:rFonts w:ascii="Cambria Math" w:eastAsiaTheme="minorEastAsia" w:hAnsi="Cambria Math" w:cs="Arial"/>
                <w:i/>
                <w:iCs/>
              </w:rPr>
            </m:ctrlPr>
          </m:fPr>
          <m:num>
            <m:r>
              <w:rPr>
                <w:rFonts w:ascii="Cambria Math" w:eastAsiaTheme="minorEastAsia" w:hAnsi="Cambria Math" w:cs="Arial"/>
              </w:rPr>
              <m:t>13</m:t>
            </m:r>
          </m:num>
          <m:den>
            <m:r>
              <w:rPr>
                <w:rFonts w:ascii="Cambria Math" w:eastAsiaTheme="minorEastAsia" w:hAnsi="Cambria Math" w:cs="Arial"/>
              </w:rPr>
              <m:t>12</m:t>
            </m:r>
          </m:den>
        </m:f>
      </m:oMath>
      <w:r w:rsidR="00625986">
        <w:rPr>
          <w:rFonts w:ascii="Arial" w:eastAsiaTheme="minorEastAsia" w:hAnsi="Arial" w:cs="Arial"/>
          <w:iCs/>
        </w:rPr>
        <w:t xml:space="preserve"> is greater than 1 (and is therefore to the right of 1).  </w:t>
      </w:r>
    </w:p>
    <w:p w:rsidR="00625986" w:rsidRDefault="00625986" w:rsidP="007B1CBA">
      <w:pPr>
        <w:ind w:left="540"/>
        <w:rPr>
          <w:rFonts w:ascii="Arial" w:eastAsiaTheme="minorEastAsia" w:hAnsi="Arial" w:cs="Arial"/>
          <w:iCs/>
        </w:rPr>
      </w:pPr>
      <w:r>
        <w:rPr>
          <w:rFonts w:ascii="Arial" w:eastAsiaTheme="minorEastAsia" w:hAnsi="Arial" w:cs="Arial"/>
          <w:iCs/>
        </w:rPr>
        <w:t xml:space="preserve">Grade 5 students who have learned about fraction multiplication can see equivalence as “multiplying by 1”.  </w:t>
      </w:r>
      <m:oMath>
        <m:f>
          <m:fPr>
            <m:ctrlPr>
              <w:rPr>
                <w:rFonts w:ascii="Cambria Math" w:eastAsiaTheme="minorEastAsia" w:hAnsi="Cambria Math" w:cs="Arial"/>
                <w:i/>
                <w:iCs/>
              </w:rPr>
            </m:ctrlPr>
          </m:fPr>
          <m:num>
            <m:r>
              <w:rPr>
                <w:rFonts w:ascii="Cambria Math" w:eastAsiaTheme="minorEastAsia" w:hAnsi="Cambria Math" w:cs="Arial"/>
              </w:rPr>
              <m:t>7</m:t>
            </m:r>
          </m:num>
          <m:den>
            <m:r>
              <w:rPr>
                <w:rFonts w:ascii="Cambria Math" w:eastAsiaTheme="minorEastAsia" w:hAnsi="Cambria Math" w:cs="Arial"/>
              </w:rPr>
              <m:t>9</m:t>
            </m:r>
          </m:den>
        </m:f>
        <m:r>
          <w:rPr>
            <w:rFonts w:ascii="Cambria Math" w:eastAsiaTheme="minorEastAsia" w:hAnsi="Cambria Math" w:cs="Arial"/>
          </w:rPr>
          <m:t>=</m:t>
        </m:r>
        <m:f>
          <m:fPr>
            <m:ctrlPr>
              <w:rPr>
                <w:rFonts w:ascii="Cambria Math" w:eastAsiaTheme="minorEastAsia" w:hAnsi="Cambria Math" w:cs="Arial"/>
                <w:i/>
                <w:iCs/>
              </w:rPr>
            </m:ctrlPr>
          </m:fPr>
          <m:num>
            <m:r>
              <w:rPr>
                <w:rFonts w:ascii="Cambria Math" w:eastAsiaTheme="minorEastAsia" w:hAnsi="Cambria Math" w:cs="Arial"/>
              </w:rPr>
              <m:t>7</m:t>
            </m:r>
          </m:num>
          <m:den>
            <m:r>
              <w:rPr>
                <w:rFonts w:ascii="Cambria Math" w:eastAsiaTheme="minorEastAsia" w:hAnsi="Cambria Math" w:cs="Arial"/>
              </w:rPr>
              <m:t>9</m:t>
            </m:r>
          </m:den>
        </m:f>
        <m:r>
          <w:rPr>
            <w:rFonts w:ascii="Cambria Math" w:eastAsiaTheme="minorEastAsia" w:hAnsi="Cambria Math" w:cs="Arial"/>
          </w:rPr>
          <m:t>x1=</m:t>
        </m:r>
        <m:f>
          <m:fPr>
            <m:ctrlPr>
              <w:rPr>
                <w:rFonts w:ascii="Cambria Math" w:eastAsiaTheme="minorEastAsia" w:hAnsi="Cambria Math" w:cs="Arial"/>
                <w:i/>
                <w:iCs/>
              </w:rPr>
            </m:ctrlPr>
          </m:fPr>
          <m:num>
            <m:r>
              <w:rPr>
                <w:rFonts w:ascii="Cambria Math" w:eastAsiaTheme="minorEastAsia" w:hAnsi="Cambria Math" w:cs="Arial"/>
              </w:rPr>
              <m:t>7</m:t>
            </m:r>
          </m:num>
          <m:den>
            <m:r>
              <w:rPr>
                <w:rFonts w:ascii="Cambria Math" w:eastAsiaTheme="minorEastAsia" w:hAnsi="Cambria Math" w:cs="Arial"/>
              </w:rPr>
              <m:t>9</m:t>
            </m:r>
          </m:den>
        </m:f>
        <m:r>
          <w:rPr>
            <w:rFonts w:ascii="Cambria Math" w:eastAsiaTheme="minorEastAsia" w:hAnsi="Cambria Math" w:cs="Arial"/>
          </w:rPr>
          <m:t>x</m:t>
        </m:r>
        <m:f>
          <m:fPr>
            <m:ctrlPr>
              <w:rPr>
                <w:rFonts w:ascii="Cambria Math" w:eastAsiaTheme="minorEastAsia" w:hAnsi="Cambria Math" w:cs="Arial"/>
                <w:i/>
                <w:iCs/>
              </w:rPr>
            </m:ctrlPr>
          </m:fPr>
          <m:num>
            <m:r>
              <w:rPr>
                <w:rFonts w:ascii="Cambria Math" w:eastAsiaTheme="minorEastAsia" w:hAnsi="Cambria Math" w:cs="Arial"/>
              </w:rPr>
              <m:t>4</m:t>
            </m:r>
          </m:num>
          <m:den>
            <m:r>
              <w:rPr>
                <w:rFonts w:ascii="Cambria Math" w:eastAsiaTheme="minorEastAsia" w:hAnsi="Cambria Math" w:cs="Arial"/>
              </w:rPr>
              <m:t>4</m:t>
            </m:r>
          </m:den>
        </m:f>
        <m:r>
          <w:rPr>
            <w:rFonts w:ascii="Cambria Math" w:eastAsiaTheme="minorEastAsia" w:hAnsi="Cambria Math" w:cs="Arial"/>
          </w:rPr>
          <m:t>=</m:t>
        </m:r>
        <m:f>
          <m:fPr>
            <m:ctrlPr>
              <w:rPr>
                <w:rFonts w:ascii="Cambria Math" w:eastAsiaTheme="minorEastAsia" w:hAnsi="Cambria Math" w:cs="Arial"/>
                <w:i/>
                <w:iCs/>
              </w:rPr>
            </m:ctrlPr>
          </m:fPr>
          <m:num>
            <m:r>
              <w:rPr>
                <w:rFonts w:ascii="Cambria Math" w:eastAsiaTheme="minorEastAsia" w:hAnsi="Cambria Math" w:cs="Arial"/>
              </w:rPr>
              <m:t>28</m:t>
            </m:r>
          </m:num>
          <m:den>
            <m:r>
              <w:rPr>
                <w:rFonts w:ascii="Cambria Math" w:eastAsiaTheme="minorEastAsia" w:hAnsi="Cambria Math" w:cs="Arial"/>
              </w:rPr>
              <m:t>36</m:t>
            </m:r>
          </m:den>
        </m:f>
      </m:oMath>
      <w:r>
        <w:rPr>
          <w:rFonts w:ascii="Arial" w:eastAsiaTheme="minorEastAsia" w:hAnsi="Arial" w:cs="Arial"/>
          <w:iCs/>
        </w:rPr>
        <w:t xml:space="preserve"> </w:t>
      </w:r>
    </w:p>
    <w:p w:rsidR="00625986" w:rsidRPr="002916E8" w:rsidRDefault="00625986" w:rsidP="007B1CBA">
      <w:pPr>
        <w:ind w:left="540"/>
        <w:rPr>
          <w:rFonts w:ascii="Arial" w:eastAsiaTheme="minorEastAsia" w:hAnsi="Arial" w:cs="Arial"/>
          <w:iCs/>
        </w:rPr>
      </w:pPr>
      <w:r>
        <w:rPr>
          <w:rFonts w:ascii="Arial" w:eastAsiaTheme="minorEastAsia" w:hAnsi="Arial" w:cs="Arial"/>
          <w:iCs/>
        </w:rPr>
        <w:t xml:space="preserve">However, although a useful mnemonic device, this does not constitute a valid argument at this grade, since students have not yet learned fraction multiplication.  </w:t>
      </w:r>
    </w:p>
    <w:p w:rsidR="002916E8" w:rsidRDefault="002916E8" w:rsidP="002916E8">
      <w:pPr>
        <w:ind w:right="-540"/>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w:t>
      </w:r>
      <w:r>
        <w:rPr>
          <w:rFonts w:ascii="Arial" w:hAnsi="Arial" w:cs="Arial"/>
          <w:i/>
        </w:rPr>
        <w:t>Number and Operations in Base 10.</w:t>
      </w:r>
      <w:proofErr w:type="gramEnd"/>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477EB3" w:rsidRDefault="00477EB3" w:rsidP="002916E8">
      <w:pPr>
        <w:ind w:right="-540"/>
        <w:rPr>
          <w:rFonts w:ascii="Arial" w:hAnsi="Arial" w:cs="Arial"/>
        </w:rPr>
      </w:pPr>
      <w:r>
        <w:rPr>
          <w:noProof/>
        </w:rPr>
        <mc:AlternateContent>
          <mc:Choice Requires="wps">
            <w:drawing>
              <wp:anchor distT="0" distB="0" distL="114300" distR="114300" simplePos="0" relativeHeight="251672576" behindDoc="0" locked="0" layoutInCell="1" allowOverlap="1" wp14:anchorId="3B742EF2" wp14:editId="7339CAAF">
                <wp:simplePos x="0" y="0"/>
                <wp:positionH relativeFrom="column">
                  <wp:posOffset>-19438</wp:posOffset>
                </wp:positionH>
                <wp:positionV relativeFrom="paragraph">
                  <wp:posOffset>173289</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5pt;margin-top:13.6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EnXbwnfAAAACAEAAA8AAABkcnMvZG93bnJldi54bWxMj8FOwzAQRO9I/IO1SNxaJ01p&#10;0xCnggp64EapVHFz4yWJiNeR7baBr2c5wW1WM5p5W65H24sz+tA5UpBOExBItTMdNQr2b8+THESI&#10;mozuHaGCLwywrq6vSl0Yd6FXPO9iI7iEQqEVtDEOhZShbtHqMHUDEnsfzlsd+fSNNF5fuNz2cpYk&#10;C2l1R7zQ6gE3Ldafu5NV0LjHl+/59gkXycGn7+mm3tI+V+r2Zny4BxFxjH9h+MVndKiY6ehOZILo&#10;FUyylJMKZssMBPuru3wO4shilYGsSvn/geoHAAD//wMAUEsBAi0AFAAGAAgAAAAhALaDOJL+AAAA&#10;4QEAABMAAAAAAAAAAAAAAAAAAAAAAFtDb250ZW50X1R5cGVzXS54bWxQSwECLQAUAAYACAAAACEA&#10;OP0h/9YAAACUAQAACwAAAAAAAAAAAAAAAAAvAQAAX3JlbHMvLnJlbHNQSwECLQAUAAYACAAAACEA&#10;dXjD14UCAAAcBQAADgAAAAAAAAAAAAAAAAAuAgAAZHJzL2Uyb0RvYy54bWxQSwECLQAUAAYACAAA&#10;ACEASddvCd8AAAAIAQAADwAAAAAAAAAAAAAAAADfBAAAZHJzL2Rvd25yZXYueG1sUEsFBgAAAAAE&#10;AAQA8wAAAOsFA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p>
    <w:p w:rsidR="00477EB3" w:rsidRDefault="00477EB3" w:rsidP="002916E8">
      <w:pPr>
        <w:ind w:right="-540"/>
        <w:rPr>
          <w:rFonts w:ascii="Arial" w:hAnsi="Arial" w:cs="Arial"/>
        </w:rPr>
      </w:pPr>
    </w:p>
    <w:p w:rsidR="00477EB3" w:rsidRDefault="00477EB3" w:rsidP="002916E8">
      <w:pPr>
        <w:ind w:right="-540"/>
        <w:rPr>
          <w:rFonts w:ascii="Arial" w:hAnsi="Arial" w:cs="Arial"/>
        </w:rPr>
      </w:pPr>
    </w:p>
    <w:p w:rsidR="00477EB3" w:rsidRDefault="00D114ED" w:rsidP="002916E8">
      <w:pPr>
        <w:ind w:right="-540"/>
        <w:rPr>
          <w:rFonts w:ascii="Arial" w:hAnsi="Arial" w:cs="Arial"/>
        </w:rPr>
      </w:pPr>
      <w:r>
        <w:rPr>
          <w:rFonts w:ascii="Arial" w:hAnsi="Arial" w:cs="Arial"/>
        </w:rPr>
        <w:t>PARCC</w:t>
      </w:r>
      <w:r w:rsidR="00477EB3">
        <w:rPr>
          <w:rFonts w:ascii="Arial" w:hAnsi="Arial" w:cs="Arial"/>
        </w:rPr>
        <w:t xml:space="preserve"> Evidence Tables:</w:t>
      </w:r>
    </w:p>
    <w:tbl>
      <w:tblPr>
        <w:tblStyle w:val="TableGrid"/>
        <w:tblW w:w="0" w:type="auto"/>
        <w:tblLook w:val="04A0" w:firstRow="1" w:lastRow="0" w:firstColumn="1" w:lastColumn="0" w:noHBand="0" w:noVBand="1"/>
      </w:tblPr>
      <w:tblGrid>
        <w:gridCol w:w="1548"/>
        <w:gridCol w:w="2880"/>
        <w:gridCol w:w="3600"/>
        <w:gridCol w:w="828"/>
      </w:tblGrid>
      <w:tr w:rsidR="00D114ED" w:rsidTr="00E844D2">
        <w:trPr>
          <w:trHeight w:val="953"/>
        </w:trPr>
        <w:tc>
          <w:tcPr>
            <w:tcW w:w="1548" w:type="dxa"/>
          </w:tcPr>
          <w:p w:rsidR="00D114ED" w:rsidRPr="009D5E74" w:rsidRDefault="00D114ED" w:rsidP="00E844D2">
            <w:pPr>
              <w:jc w:val="center"/>
              <w:rPr>
                <w:b/>
              </w:rPr>
            </w:pPr>
            <w:r w:rsidRPr="009D5E74">
              <w:rPr>
                <w:b/>
              </w:rPr>
              <w:t>Evidence</w:t>
            </w:r>
          </w:p>
          <w:p w:rsidR="00D114ED" w:rsidRPr="009D5E74" w:rsidRDefault="00D114ED" w:rsidP="00E844D2">
            <w:pPr>
              <w:jc w:val="center"/>
              <w:rPr>
                <w:b/>
              </w:rPr>
            </w:pPr>
            <w:r w:rsidRPr="009D5E74">
              <w:rPr>
                <w:b/>
              </w:rPr>
              <w:t>Statement Key</w:t>
            </w:r>
          </w:p>
          <w:p w:rsidR="00D114ED" w:rsidRPr="009D5E74" w:rsidRDefault="00D114ED" w:rsidP="00E844D2">
            <w:pPr>
              <w:jc w:val="center"/>
              <w:rPr>
                <w:b/>
              </w:rPr>
            </w:pPr>
          </w:p>
        </w:tc>
        <w:tc>
          <w:tcPr>
            <w:tcW w:w="2880" w:type="dxa"/>
          </w:tcPr>
          <w:p w:rsidR="00D114ED" w:rsidRPr="009D5E74" w:rsidRDefault="00D114ED" w:rsidP="00E844D2">
            <w:pPr>
              <w:jc w:val="center"/>
              <w:rPr>
                <w:b/>
              </w:rPr>
            </w:pPr>
          </w:p>
          <w:p w:rsidR="00D114ED" w:rsidRPr="009D5E74" w:rsidRDefault="00D114ED" w:rsidP="00E844D2">
            <w:pPr>
              <w:jc w:val="center"/>
              <w:rPr>
                <w:b/>
              </w:rPr>
            </w:pPr>
            <w:r w:rsidRPr="009D5E74">
              <w:rPr>
                <w:b/>
              </w:rPr>
              <w:t>Evidence Statement Text</w:t>
            </w:r>
          </w:p>
        </w:tc>
        <w:tc>
          <w:tcPr>
            <w:tcW w:w="3600" w:type="dxa"/>
          </w:tcPr>
          <w:p w:rsidR="00D114ED" w:rsidRPr="009D5E74" w:rsidRDefault="00D114ED" w:rsidP="00E844D2">
            <w:pPr>
              <w:jc w:val="center"/>
              <w:rPr>
                <w:b/>
              </w:rPr>
            </w:pPr>
          </w:p>
          <w:p w:rsidR="00D114ED" w:rsidRPr="009D5E74" w:rsidRDefault="00D114ED" w:rsidP="00E844D2">
            <w:pPr>
              <w:jc w:val="center"/>
              <w:rPr>
                <w:b/>
              </w:rPr>
            </w:pPr>
            <w:r w:rsidRPr="009D5E74">
              <w:rPr>
                <w:b/>
              </w:rPr>
              <w:t>Clarifications</w:t>
            </w:r>
          </w:p>
        </w:tc>
        <w:tc>
          <w:tcPr>
            <w:tcW w:w="828" w:type="dxa"/>
          </w:tcPr>
          <w:p w:rsidR="00D114ED" w:rsidRPr="009D5E74" w:rsidRDefault="00D114ED" w:rsidP="00E844D2">
            <w:pPr>
              <w:jc w:val="center"/>
              <w:rPr>
                <w:b/>
              </w:rPr>
            </w:pPr>
          </w:p>
          <w:p w:rsidR="00D114ED" w:rsidRPr="009D5E74" w:rsidRDefault="00D114ED" w:rsidP="00E844D2">
            <w:pPr>
              <w:jc w:val="center"/>
              <w:rPr>
                <w:b/>
              </w:rPr>
            </w:pPr>
            <w:r w:rsidRPr="009D5E74">
              <w:rPr>
                <w:b/>
              </w:rPr>
              <w:t>MP</w:t>
            </w:r>
          </w:p>
        </w:tc>
      </w:tr>
      <w:tr w:rsidR="00D114ED" w:rsidTr="00E844D2">
        <w:tc>
          <w:tcPr>
            <w:tcW w:w="1548" w:type="dxa"/>
          </w:tcPr>
          <w:p w:rsidR="00D114ED" w:rsidRDefault="00D114ED" w:rsidP="00E844D2">
            <w:r w:rsidRPr="00863F81">
              <w:t>4.NF.2-1</w:t>
            </w:r>
          </w:p>
          <w:p w:rsidR="00D114ED" w:rsidRDefault="00D114ED" w:rsidP="00E844D2"/>
          <w:p w:rsidR="00D114ED" w:rsidRPr="0002569D" w:rsidRDefault="00D114ED" w:rsidP="00E844D2">
            <w:r>
              <w:t>PBA &amp; EOY</w:t>
            </w:r>
          </w:p>
        </w:tc>
        <w:tc>
          <w:tcPr>
            <w:tcW w:w="2880" w:type="dxa"/>
          </w:tcPr>
          <w:p w:rsidR="00D114ED" w:rsidRPr="0002569D" w:rsidRDefault="00D114ED" w:rsidP="00E844D2">
            <w:r>
              <w:t xml:space="preserve">Compare two fractions with different numerators and different denominators, e.g., by creating common denominators or by comparing to a benchmark fraction such as 1/2. Record the results of comparisons </w:t>
            </w:r>
            <w:r>
              <w:lastRenderedPageBreak/>
              <w:t>with symbols &lt;, =, or &gt;.</w:t>
            </w:r>
          </w:p>
        </w:tc>
        <w:tc>
          <w:tcPr>
            <w:tcW w:w="3600" w:type="dxa"/>
          </w:tcPr>
          <w:p w:rsidR="00D114ED" w:rsidRDefault="00D114ED" w:rsidP="00E844D2">
            <w:proofErr w:type="spellStart"/>
            <w:r>
              <w:lastRenderedPageBreak/>
              <w:t>i</w:t>
            </w:r>
            <w:proofErr w:type="spellEnd"/>
            <w:r>
              <w:t>) The justification aspect of 4.NF.2 is not assessed here.</w:t>
            </w:r>
          </w:p>
          <w:p w:rsidR="00D114ED" w:rsidRDefault="00D114ED" w:rsidP="00E844D2">
            <w:r>
              <w:t xml:space="preserve">ii) The aspect of recognizing that fraction comparisons are valid </w:t>
            </w:r>
          </w:p>
          <w:p w:rsidR="00D114ED" w:rsidRDefault="00D114ED" w:rsidP="00E844D2">
            <w:proofErr w:type="gramStart"/>
            <w:r>
              <w:t>only</w:t>
            </w:r>
            <w:proofErr w:type="gramEnd"/>
            <w:r>
              <w:t xml:space="preserve"> when the two fractions refer to the same whole, is not assessed here.</w:t>
            </w:r>
          </w:p>
          <w:p w:rsidR="00D114ED" w:rsidRDefault="00D114ED" w:rsidP="00E844D2">
            <w:r>
              <w:t xml:space="preserve">iii) Tasks require the student to choose the comparison strategy </w:t>
            </w:r>
            <w:r>
              <w:lastRenderedPageBreak/>
              <w:t>autonomously depending on the given fraction.</w:t>
            </w:r>
          </w:p>
          <w:p w:rsidR="00D114ED" w:rsidRDefault="00D114ED" w:rsidP="00E844D2">
            <w:r>
              <w:t xml:space="preserve">iv) Tasks are limited to denominators 2, 3, 4, 5, 6, 8, 10, 12, and 100 (CCSS footnote, </w:t>
            </w:r>
            <w:proofErr w:type="gramStart"/>
            <w:r>
              <w:t>p</w:t>
            </w:r>
            <w:proofErr w:type="gramEnd"/>
            <w:r>
              <w:t>. 30).</w:t>
            </w:r>
          </w:p>
          <w:p w:rsidR="00D114ED" w:rsidRPr="0002569D" w:rsidRDefault="00D114ED" w:rsidP="00E844D2">
            <w:r>
              <w:t>v) Tasks may include fractions that equal whole numbers.</w:t>
            </w:r>
          </w:p>
        </w:tc>
        <w:tc>
          <w:tcPr>
            <w:tcW w:w="828" w:type="dxa"/>
          </w:tcPr>
          <w:p w:rsidR="00D114ED" w:rsidRPr="0002569D" w:rsidRDefault="00D114ED" w:rsidP="00E844D2">
            <w:r>
              <w:lastRenderedPageBreak/>
              <w:t>6,7</w:t>
            </w:r>
          </w:p>
        </w:tc>
      </w:tr>
      <w:tr w:rsidR="00D114ED" w:rsidTr="00E844D2">
        <w:trPr>
          <w:trHeight w:val="80"/>
        </w:trPr>
        <w:tc>
          <w:tcPr>
            <w:tcW w:w="1548" w:type="dxa"/>
          </w:tcPr>
          <w:p w:rsidR="00D114ED" w:rsidRDefault="00D114ED" w:rsidP="00E844D2">
            <w:r w:rsidRPr="003A15BA">
              <w:lastRenderedPageBreak/>
              <w:t>4.NF.A.Int.1</w:t>
            </w:r>
          </w:p>
          <w:p w:rsidR="00D114ED" w:rsidRDefault="00D114ED" w:rsidP="00E844D2"/>
          <w:p w:rsidR="00D114ED" w:rsidRDefault="00D114ED" w:rsidP="00E844D2">
            <w:r>
              <w:t>PBA &amp; EOY</w:t>
            </w:r>
          </w:p>
        </w:tc>
        <w:tc>
          <w:tcPr>
            <w:tcW w:w="2880" w:type="dxa"/>
          </w:tcPr>
          <w:p w:rsidR="00D114ED" w:rsidRDefault="00D114ED" w:rsidP="00E844D2">
            <w:r>
              <w:t>Apply conceptual understanding of fraction equivalence and ordering to solve simple word problems requiring fraction comparison.</w:t>
            </w:r>
          </w:p>
        </w:tc>
        <w:tc>
          <w:tcPr>
            <w:tcW w:w="3600" w:type="dxa"/>
          </w:tcPr>
          <w:p w:rsidR="00D114ED" w:rsidRDefault="00D114ED" w:rsidP="00E844D2">
            <w:proofErr w:type="spellStart"/>
            <w:r>
              <w:t>i</w:t>
            </w:r>
            <w:proofErr w:type="spellEnd"/>
            <w:r>
              <w:t>) Tasks have “thin context.”</w:t>
            </w:r>
          </w:p>
          <w:p w:rsidR="00D114ED" w:rsidRDefault="00D114ED" w:rsidP="00E844D2">
            <w:r>
              <w:t>ii) Tasks do not require adding, subtracting, multiplying, or dividing fractions.</w:t>
            </w:r>
          </w:p>
          <w:p w:rsidR="00D114ED" w:rsidRDefault="00D114ED" w:rsidP="00E844D2">
            <w:r>
              <w:t>iii) Prompts do not provide visual fraction models; students may at their discretion draw visual fraction models as a strategy.</w:t>
            </w:r>
          </w:p>
          <w:p w:rsidR="00D114ED" w:rsidRDefault="00D114ED" w:rsidP="00E844D2">
            <w:r>
              <w:t>iv) Tasks are limited to denominators 2, 3, 4, 5, 6, 8, 10, 12, and 100 (CCSS footnote, p. 30)</w:t>
            </w:r>
          </w:p>
        </w:tc>
        <w:tc>
          <w:tcPr>
            <w:tcW w:w="828" w:type="dxa"/>
          </w:tcPr>
          <w:p w:rsidR="00D114ED" w:rsidRDefault="00D114ED" w:rsidP="00E844D2">
            <w:r>
              <w:t>1,4,5</w:t>
            </w:r>
          </w:p>
        </w:tc>
      </w:tr>
      <w:tr w:rsidR="00D114ED" w:rsidTr="00E844D2">
        <w:trPr>
          <w:trHeight w:val="80"/>
        </w:trPr>
        <w:tc>
          <w:tcPr>
            <w:tcW w:w="1548" w:type="dxa"/>
          </w:tcPr>
          <w:p w:rsidR="00D114ED" w:rsidRDefault="00D114ED" w:rsidP="00E844D2">
            <w:r w:rsidRPr="006D694F">
              <w:t>4.C.4-1</w:t>
            </w:r>
          </w:p>
          <w:p w:rsidR="00D114ED" w:rsidRDefault="00D114ED" w:rsidP="00E844D2"/>
          <w:p w:rsidR="00D114ED" w:rsidRDefault="00D114ED" w:rsidP="00E844D2">
            <w:r>
              <w:t>PBA</w:t>
            </w:r>
          </w:p>
        </w:tc>
        <w:tc>
          <w:tcPr>
            <w:tcW w:w="2880" w:type="dxa"/>
          </w:tcPr>
          <w:p w:rsidR="00D114ED" w:rsidRDefault="00D114ED" w:rsidP="00E844D2">
            <w:r>
              <w:t>Base arithmetic explanations/reasoning on concrete referents such as diagrams (whether provided in the prompt or constructed by the student in her response), connecting the diagrams to a written (symbolic) method.</w:t>
            </w:r>
          </w:p>
          <w:p w:rsidR="00D114ED" w:rsidRDefault="00D114ED" w:rsidP="00E844D2">
            <w:r>
              <w:t>Content Scope: Knowledge and skills articulated in 4.NF.A</w:t>
            </w:r>
          </w:p>
        </w:tc>
        <w:tc>
          <w:tcPr>
            <w:tcW w:w="3600" w:type="dxa"/>
          </w:tcPr>
          <w:p w:rsidR="00D114ED" w:rsidRDefault="00D114ED" w:rsidP="00E844D2">
            <w:proofErr w:type="spellStart"/>
            <w:r>
              <w:t>i</w:t>
            </w:r>
            <w:proofErr w:type="spellEnd"/>
            <w:r>
              <w:t>) Tasks have “thin context” or no context.</w:t>
            </w:r>
          </w:p>
          <w:p w:rsidR="00D114ED" w:rsidRDefault="00D114ED" w:rsidP="00E844D2">
            <w:r>
              <w:t xml:space="preserve">ii) Tasks are limited to denominators 2, 3, 4, 5, 6, 8, 10, 12, and 100 (CCSS footnote, </w:t>
            </w:r>
            <w:proofErr w:type="gramStart"/>
            <w:r>
              <w:t>p</w:t>
            </w:r>
            <w:proofErr w:type="gramEnd"/>
            <w:r>
              <w:t>. 30).</w:t>
            </w:r>
          </w:p>
        </w:tc>
        <w:tc>
          <w:tcPr>
            <w:tcW w:w="828" w:type="dxa"/>
          </w:tcPr>
          <w:p w:rsidR="00D114ED" w:rsidRDefault="00D114ED" w:rsidP="00E844D2">
            <w:r>
              <w:t>3,5,6</w:t>
            </w:r>
          </w:p>
        </w:tc>
      </w:tr>
      <w:tr w:rsidR="00D114ED" w:rsidTr="00E844D2">
        <w:trPr>
          <w:trHeight w:val="80"/>
        </w:trPr>
        <w:tc>
          <w:tcPr>
            <w:tcW w:w="1548" w:type="dxa"/>
          </w:tcPr>
          <w:p w:rsidR="00D114ED" w:rsidRDefault="00D114ED" w:rsidP="00E844D2">
            <w:r w:rsidRPr="006D694F">
              <w:t>4.C.5-2</w:t>
            </w:r>
            <w:r>
              <w:t xml:space="preserve"> </w:t>
            </w:r>
          </w:p>
          <w:p w:rsidR="00D114ED" w:rsidRDefault="00D114ED" w:rsidP="00E844D2"/>
          <w:p w:rsidR="00D114ED" w:rsidRDefault="00D114ED" w:rsidP="00E844D2">
            <w:r>
              <w:t>PBA</w:t>
            </w:r>
          </w:p>
        </w:tc>
        <w:tc>
          <w:tcPr>
            <w:tcW w:w="2880" w:type="dxa"/>
          </w:tcPr>
          <w:p w:rsidR="00D114ED" w:rsidRDefault="00D114ED" w:rsidP="00E844D2">
            <w:r>
              <w:t>Distinguish correct explanation/reasoning from that which is flawed, and – if there is a flaw in the argument – present corrected reasoning. (For example, some flawed “student” reasoning is presented and the task is to correct and improve it.) Content Scope: Knowledge and skills articulated in 4.NF.1</w:t>
            </w:r>
          </w:p>
        </w:tc>
        <w:tc>
          <w:tcPr>
            <w:tcW w:w="3600" w:type="dxa"/>
          </w:tcPr>
          <w:p w:rsidR="00D114ED" w:rsidRDefault="00D114ED" w:rsidP="00E844D2">
            <w:proofErr w:type="spellStart"/>
            <w:r>
              <w:t>i</w:t>
            </w:r>
            <w:proofErr w:type="spellEnd"/>
            <w:r>
              <w:t>) Tasks have “thin context” or no context.</w:t>
            </w:r>
          </w:p>
          <w:p w:rsidR="00D114ED" w:rsidRDefault="00D114ED" w:rsidP="00E844D2">
            <w:r>
              <w:t>ii) Tasks are limited to denominators 2, 3, 4, 5, 6, 8, 10, 12, and 100 (CCSS footnote, p. 30)</w:t>
            </w:r>
          </w:p>
        </w:tc>
        <w:tc>
          <w:tcPr>
            <w:tcW w:w="828" w:type="dxa"/>
          </w:tcPr>
          <w:p w:rsidR="00D114ED" w:rsidRDefault="00D114ED" w:rsidP="00E844D2">
            <w:r>
              <w:t>3,7,6</w:t>
            </w:r>
          </w:p>
        </w:tc>
      </w:tr>
      <w:tr w:rsidR="00D114ED" w:rsidTr="00E844D2">
        <w:trPr>
          <w:trHeight w:val="80"/>
        </w:trPr>
        <w:tc>
          <w:tcPr>
            <w:tcW w:w="1548" w:type="dxa"/>
          </w:tcPr>
          <w:p w:rsidR="00D114ED" w:rsidRDefault="00D114ED" w:rsidP="00E844D2">
            <w:r w:rsidRPr="00CA1F61">
              <w:t>4.C.5-3</w:t>
            </w:r>
          </w:p>
          <w:p w:rsidR="00D114ED" w:rsidRDefault="00D114ED" w:rsidP="00E844D2"/>
          <w:p w:rsidR="00D114ED" w:rsidRPr="006D694F" w:rsidRDefault="00D114ED" w:rsidP="00E844D2">
            <w:r>
              <w:t>PBA</w:t>
            </w:r>
          </w:p>
        </w:tc>
        <w:tc>
          <w:tcPr>
            <w:tcW w:w="2880" w:type="dxa"/>
          </w:tcPr>
          <w:p w:rsidR="00D114ED" w:rsidRDefault="00D114ED" w:rsidP="00E844D2">
            <w:r>
              <w:t xml:space="preserve">Distinguish correct explanation/reasoning from that which is flawed, and – if there is a flaw in the argument – present </w:t>
            </w:r>
            <w:r>
              <w:lastRenderedPageBreak/>
              <w:t>corrected reasoning. (For example, some flawed “student” reasoning is presented and the task is to correct and improve it.) Content Scope: Knowledge and skills articulated in 4.NF.2</w:t>
            </w:r>
          </w:p>
        </w:tc>
        <w:tc>
          <w:tcPr>
            <w:tcW w:w="3600" w:type="dxa"/>
          </w:tcPr>
          <w:p w:rsidR="00D114ED" w:rsidRDefault="00D114ED" w:rsidP="00E844D2">
            <w:proofErr w:type="spellStart"/>
            <w:r>
              <w:lastRenderedPageBreak/>
              <w:t>i</w:t>
            </w:r>
            <w:proofErr w:type="spellEnd"/>
            <w:r>
              <w:t>) Tasks have “thin context” or no context.</w:t>
            </w:r>
          </w:p>
          <w:p w:rsidR="00D114ED" w:rsidRDefault="00D114ED" w:rsidP="00E844D2">
            <w:r>
              <w:t xml:space="preserve">ii) Tasks are limited to denominators 2, 3, 4, 5, 6, 8, 10, 12, and 100 (CCSS footnote, </w:t>
            </w:r>
            <w:proofErr w:type="gramStart"/>
            <w:r>
              <w:t>p</w:t>
            </w:r>
            <w:proofErr w:type="gramEnd"/>
            <w:r>
              <w:t>. 30).</w:t>
            </w:r>
          </w:p>
        </w:tc>
        <w:tc>
          <w:tcPr>
            <w:tcW w:w="828" w:type="dxa"/>
          </w:tcPr>
          <w:p w:rsidR="00D114ED" w:rsidRDefault="00D114ED" w:rsidP="00E844D2">
            <w:r>
              <w:t>3,7,6</w:t>
            </w:r>
          </w:p>
        </w:tc>
      </w:tr>
      <w:tr w:rsidR="00D114ED" w:rsidTr="00E844D2">
        <w:trPr>
          <w:trHeight w:val="80"/>
        </w:trPr>
        <w:tc>
          <w:tcPr>
            <w:tcW w:w="1548" w:type="dxa"/>
          </w:tcPr>
          <w:p w:rsidR="00D114ED" w:rsidRDefault="00D114ED" w:rsidP="00E844D2">
            <w:r w:rsidRPr="00CA1F61">
              <w:lastRenderedPageBreak/>
              <w:t>4.C.7-2</w:t>
            </w:r>
          </w:p>
          <w:p w:rsidR="00D114ED" w:rsidRDefault="00D114ED" w:rsidP="00E844D2">
            <w:r>
              <w:t>PBA</w:t>
            </w:r>
          </w:p>
        </w:tc>
        <w:tc>
          <w:tcPr>
            <w:tcW w:w="2880" w:type="dxa"/>
          </w:tcPr>
          <w:p w:rsidR="00D114ED" w:rsidRDefault="00D114ED" w:rsidP="00E844D2">
            <w:r>
              <w:t>Base explanations/ reasoning on a number line diagram (whether provided in the prompt or constructed by the student in her response).</w:t>
            </w:r>
          </w:p>
          <w:p w:rsidR="00D114ED" w:rsidRDefault="00D114ED" w:rsidP="00E844D2">
            <w:r>
              <w:t>Content Scope: Knowledge and skills articulated in 4.NF.2</w:t>
            </w:r>
          </w:p>
        </w:tc>
        <w:tc>
          <w:tcPr>
            <w:tcW w:w="3600" w:type="dxa"/>
          </w:tcPr>
          <w:p w:rsidR="00D114ED" w:rsidRDefault="00D114ED" w:rsidP="00E844D2">
            <w:r>
              <w:t>None</w:t>
            </w:r>
          </w:p>
        </w:tc>
        <w:tc>
          <w:tcPr>
            <w:tcW w:w="828" w:type="dxa"/>
          </w:tcPr>
          <w:p w:rsidR="00D114ED" w:rsidRDefault="00D114ED" w:rsidP="00E844D2">
            <w:r>
              <w:t>3,5,6</w:t>
            </w:r>
          </w:p>
        </w:tc>
      </w:tr>
      <w:tr w:rsidR="00D114ED" w:rsidTr="00E844D2">
        <w:trPr>
          <w:trHeight w:val="80"/>
        </w:trPr>
        <w:tc>
          <w:tcPr>
            <w:tcW w:w="1548" w:type="dxa"/>
          </w:tcPr>
          <w:p w:rsidR="00D114ED" w:rsidRDefault="00D114ED" w:rsidP="00E844D2">
            <w:r w:rsidRPr="006D694F">
              <w:t>4.NF.Int.1</w:t>
            </w:r>
          </w:p>
          <w:p w:rsidR="00D114ED" w:rsidRDefault="00D114ED" w:rsidP="00E844D2"/>
          <w:p w:rsidR="00D114ED" w:rsidRDefault="00D114ED" w:rsidP="00E844D2">
            <w:r>
              <w:t>EOY</w:t>
            </w:r>
          </w:p>
        </w:tc>
        <w:tc>
          <w:tcPr>
            <w:tcW w:w="2880" w:type="dxa"/>
          </w:tcPr>
          <w:p w:rsidR="00D114ED" w:rsidRDefault="00D114ED" w:rsidP="00E844D2">
            <w:r>
              <w:t>Solve one-step word problems requiring integration of knowledge and skills articulated in 4.NF.</w:t>
            </w:r>
          </w:p>
        </w:tc>
        <w:tc>
          <w:tcPr>
            <w:tcW w:w="3600" w:type="dxa"/>
          </w:tcPr>
          <w:p w:rsidR="00D114ED" w:rsidRDefault="00D114ED" w:rsidP="00E844D2">
            <w:proofErr w:type="spellStart"/>
            <w:r>
              <w:t>i</w:t>
            </w:r>
            <w:proofErr w:type="spellEnd"/>
            <w:r>
              <w:t xml:space="preserve">) See ITN Appendix F, section A, “Illustrations of Innovative </w:t>
            </w:r>
          </w:p>
          <w:p w:rsidR="00D114ED" w:rsidRDefault="00D114ED" w:rsidP="00E844D2">
            <w:r>
              <w:t>Task Characteristics,” subsection 4, “Integrative tasks with machine scoring of responses entered by computer interface.”</w:t>
            </w:r>
          </w:p>
          <w:p w:rsidR="00D114ED" w:rsidRDefault="00D114ED" w:rsidP="00E844D2">
            <w:r>
              <w:t xml:space="preserve">ii) Tasks are limited to denominators 2, 3, 4, 5, 6, 8, 10, 12, and 100 (CCSS footnote, </w:t>
            </w:r>
            <w:proofErr w:type="gramStart"/>
            <w:r>
              <w:t>p</w:t>
            </w:r>
            <w:proofErr w:type="gramEnd"/>
            <w:r>
              <w:t>. 30).</w:t>
            </w:r>
          </w:p>
        </w:tc>
        <w:tc>
          <w:tcPr>
            <w:tcW w:w="828" w:type="dxa"/>
          </w:tcPr>
          <w:p w:rsidR="00D114ED" w:rsidRDefault="00D114ED" w:rsidP="00E844D2">
            <w:r>
              <w:t>1,4</w:t>
            </w:r>
          </w:p>
        </w:tc>
      </w:tr>
      <w:tr w:rsidR="00D114ED" w:rsidTr="00E844D2">
        <w:trPr>
          <w:trHeight w:val="80"/>
        </w:trPr>
        <w:tc>
          <w:tcPr>
            <w:tcW w:w="1548" w:type="dxa"/>
          </w:tcPr>
          <w:p w:rsidR="00D114ED" w:rsidRDefault="00D114ED" w:rsidP="00E844D2">
            <w:r w:rsidRPr="006D694F">
              <w:t>4.NF.Int.2</w:t>
            </w:r>
          </w:p>
          <w:p w:rsidR="00D114ED" w:rsidRDefault="00D114ED" w:rsidP="00E844D2"/>
          <w:p w:rsidR="00D114ED" w:rsidRDefault="00D114ED" w:rsidP="00E844D2">
            <w:r>
              <w:t>EOY</w:t>
            </w:r>
          </w:p>
        </w:tc>
        <w:tc>
          <w:tcPr>
            <w:tcW w:w="2880" w:type="dxa"/>
          </w:tcPr>
          <w:p w:rsidR="00D114ED" w:rsidRDefault="00D114ED" w:rsidP="00E844D2">
            <w:r>
              <w:t xml:space="preserve">Express a fraction with denominator 10 as an equivalent fraction with denominator 100, and use this technique to add two fractions with respective denominators 10 and 100. </w:t>
            </w:r>
            <w:r w:rsidRPr="00863F81">
              <w:rPr>
                <w:i/>
              </w:rPr>
              <w:t>For example, express 3/10 as 30/100, and add</w:t>
            </w:r>
            <m:oMath>
              <m:f>
                <m:fPr>
                  <m:ctrlPr>
                    <w:rPr>
                      <w:rFonts w:ascii="Cambria Math" w:eastAsiaTheme="minorEastAsia" w:hAnsi="Cambria Math"/>
                      <w:i/>
                      <w:sz w:val="24"/>
                      <w:szCs w:val="24"/>
                    </w:rPr>
                  </m:ctrlPr>
                </m:fPr>
                <m:num>
                  <m:r>
                    <w:rPr>
                      <w:rFonts w:ascii="Cambria Math" w:hAnsi="Cambria Math"/>
                    </w:rPr>
                    <m:t>3</m:t>
                  </m:r>
                </m:num>
                <m:den>
                  <m:r>
                    <w:rPr>
                      <w:rFonts w:ascii="Cambria Math" w:hAnsi="Cambria Math"/>
                    </w:rPr>
                    <m:t>10</m:t>
                  </m:r>
                </m:den>
              </m:f>
              <m:r>
                <w:rPr>
                  <w:rFonts w:ascii="Cambria Math" w:hAnsi="Cambria Math"/>
                </w:rPr>
                <m:t>+</m:t>
              </m:r>
              <m:f>
                <m:fPr>
                  <m:ctrlPr>
                    <w:rPr>
                      <w:rFonts w:ascii="Cambria Math" w:eastAsiaTheme="minorEastAsia" w:hAnsi="Cambria Math"/>
                      <w:i/>
                      <w:sz w:val="24"/>
                      <w:szCs w:val="24"/>
                    </w:rPr>
                  </m:ctrlPr>
                </m:fPr>
                <m:num>
                  <m:r>
                    <w:rPr>
                      <w:rFonts w:ascii="Cambria Math" w:hAnsi="Cambria Math"/>
                    </w:rPr>
                    <m:t>4</m:t>
                  </m:r>
                </m:num>
                <m:den>
                  <m:r>
                    <w:rPr>
                      <w:rFonts w:ascii="Cambria Math" w:hAnsi="Cambria Math"/>
                    </w:rPr>
                    <m:t>100</m:t>
                  </m:r>
                </m:den>
              </m:f>
              <m:r>
                <w:rPr>
                  <w:rFonts w:ascii="Cambria Math" w:hAnsi="Cambria Math"/>
                </w:rPr>
                <m:t>=</m:t>
              </m:r>
              <m:f>
                <m:fPr>
                  <m:ctrlPr>
                    <w:rPr>
                      <w:rFonts w:ascii="Cambria Math" w:eastAsiaTheme="minorEastAsia" w:hAnsi="Cambria Math"/>
                      <w:i/>
                      <w:sz w:val="24"/>
                      <w:szCs w:val="24"/>
                    </w:rPr>
                  </m:ctrlPr>
                </m:fPr>
                <m:num>
                  <m:r>
                    <w:rPr>
                      <w:rFonts w:ascii="Cambria Math" w:hAnsi="Cambria Math"/>
                    </w:rPr>
                    <m:t>34</m:t>
                  </m:r>
                </m:num>
                <m:den>
                  <m:r>
                    <w:rPr>
                      <w:rFonts w:ascii="Cambria Math" w:hAnsi="Cambria Math"/>
                    </w:rPr>
                    <m:t>100</m:t>
                  </m:r>
                </m:den>
              </m:f>
            </m:oMath>
          </w:p>
        </w:tc>
        <w:tc>
          <w:tcPr>
            <w:tcW w:w="3600" w:type="dxa"/>
          </w:tcPr>
          <w:p w:rsidR="00D114ED" w:rsidRDefault="00D114ED" w:rsidP="00E844D2">
            <w:proofErr w:type="spellStart"/>
            <w:r>
              <w:t>i</w:t>
            </w:r>
            <w:proofErr w:type="spellEnd"/>
            <w:r>
              <w:t>) Tasks are one-step addition word problems of one of two kinds: Add To with result unknown, or Put Together with result unknown.</w:t>
            </w:r>
          </w:p>
          <w:p w:rsidR="00D114ED" w:rsidRDefault="00D114ED" w:rsidP="00E844D2">
            <w:r>
              <w:t xml:space="preserve">ii) See Table 2, p. 9 of the Progression for Operations and </w:t>
            </w:r>
          </w:p>
          <w:p w:rsidR="00D114ED" w:rsidRDefault="00D114ED" w:rsidP="00E844D2">
            <w:r>
              <w:t>Algebraic Thinking; these situations are sampled equally.</w:t>
            </w:r>
          </w:p>
        </w:tc>
        <w:tc>
          <w:tcPr>
            <w:tcW w:w="828" w:type="dxa"/>
          </w:tcPr>
          <w:p w:rsidR="00D114ED" w:rsidRDefault="00D114ED" w:rsidP="00E844D2">
            <w:r>
              <w:t>1</w:t>
            </w:r>
          </w:p>
        </w:tc>
      </w:tr>
    </w:tbl>
    <w:p w:rsidR="002A7066" w:rsidRDefault="00453937" w:rsidP="00453937">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4" w:history="1">
        <w:r w:rsidRPr="005F0D6F">
          <w:rPr>
            <w:rStyle w:val="Hyperlink"/>
            <w:rFonts w:ascii="Arial" w:hAnsi="Arial" w:cs="Arial"/>
          </w:rPr>
          <w:t>http://www.parcconline.org/assessment-blueprints-test-specs</w:t>
        </w:r>
      </w:hyperlink>
      <w:r>
        <w:rPr>
          <w:rFonts w:ascii="Arial" w:hAnsi="Arial" w:cs="Arial"/>
        </w:rPr>
        <w:t xml:space="preserve"> </w:t>
      </w:r>
    </w:p>
    <w:p w:rsidR="00D114ED" w:rsidRDefault="00D114ED" w:rsidP="00A31142">
      <w:pPr>
        <w:rPr>
          <w:rFonts w:ascii="Arial" w:hAnsi="Arial" w:cs="Arial"/>
        </w:rPr>
      </w:pPr>
    </w:p>
    <w:tbl>
      <w:tblPr>
        <w:tblStyle w:val="TableGrid"/>
        <w:tblW w:w="0" w:type="auto"/>
        <w:tblLook w:val="04A0" w:firstRow="1" w:lastRow="0" w:firstColumn="1" w:lastColumn="0" w:noHBand="0" w:noVBand="1"/>
      </w:tblPr>
      <w:tblGrid>
        <w:gridCol w:w="3012"/>
        <w:gridCol w:w="3012"/>
        <w:gridCol w:w="3012"/>
      </w:tblGrid>
      <w:tr w:rsidR="00782CCD" w:rsidTr="002A7066">
        <w:tc>
          <w:tcPr>
            <w:tcW w:w="3012" w:type="dxa"/>
          </w:tcPr>
          <w:p w:rsidR="00782CCD" w:rsidRDefault="00782CCD" w:rsidP="00A31142">
            <w:pPr>
              <w:rPr>
                <w:rFonts w:ascii="Arial" w:hAnsi="Arial" w:cs="Arial"/>
              </w:rPr>
            </w:pPr>
            <w:r>
              <w:rPr>
                <w:rFonts w:ascii="Arial" w:hAnsi="Arial" w:cs="Arial"/>
              </w:rPr>
              <w:t>Grade Below</w:t>
            </w:r>
          </w:p>
        </w:tc>
        <w:tc>
          <w:tcPr>
            <w:tcW w:w="3012" w:type="dxa"/>
          </w:tcPr>
          <w:p w:rsidR="00782CCD" w:rsidRDefault="00782CCD" w:rsidP="00A31142">
            <w:pPr>
              <w:rPr>
                <w:rFonts w:ascii="Arial" w:hAnsi="Arial" w:cs="Arial"/>
              </w:rPr>
            </w:pPr>
            <w:r>
              <w:rPr>
                <w:rFonts w:ascii="Arial" w:hAnsi="Arial" w:cs="Arial"/>
              </w:rPr>
              <w:t>Current Grade</w:t>
            </w:r>
          </w:p>
        </w:tc>
        <w:tc>
          <w:tcPr>
            <w:tcW w:w="3012" w:type="dxa"/>
          </w:tcPr>
          <w:p w:rsidR="00782CCD" w:rsidRDefault="00782CCD" w:rsidP="00A31142">
            <w:pPr>
              <w:rPr>
                <w:rFonts w:ascii="Arial" w:hAnsi="Arial" w:cs="Arial"/>
              </w:rPr>
            </w:pPr>
            <w:r>
              <w:rPr>
                <w:rFonts w:ascii="Arial" w:hAnsi="Arial" w:cs="Arial"/>
              </w:rPr>
              <w:t xml:space="preserve">Grade </w:t>
            </w:r>
            <w:bookmarkStart w:id="0" w:name="_GoBack"/>
            <w:bookmarkEnd w:id="0"/>
            <w:r>
              <w:rPr>
                <w:rFonts w:ascii="Arial" w:hAnsi="Arial" w:cs="Arial"/>
              </w:rPr>
              <w:t>Above</w:t>
            </w:r>
          </w:p>
        </w:tc>
      </w:tr>
      <w:tr w:rsidR="002A7066" w:rsidTr="002A7066">
        <w:tc>
          <w:tcPr>
            <w:tcW w:w="3012" w:type="dxa"/>
          </w:tcPr>
          <w:p w:rsidR="002A7066" w:rsidRDefault="00782CCD" w:rsidP="00A31142">
            <w:pPr>
              <w:rPr>
                <w:rFonts w:ascii="Arial" w:hAnsi="Arial" w:cs="Arial"/>
              </w:rPr>
            </w:pPr>
            <w:r>
              <w:rPr>
                <w:rFonts w:ascii="Arial" w:hAnsi="Arial" w:cs="Arial"/>
              </w:rPr>
              <w:t>3.OA.3</w:t>
            </w:r>
          </w:p>
          <w:p w:rsidR="00782CCD" w:rsidRDefault="00782CCD" w:rsidP="00A31142">
            <w:pPr>
              <w:rPr>
                <w:rFonts w:ascii="Arial" w:hAnsi="Arial" w:cs="Arial"/>
              </w:rPr>
            </w:pPr>
            <w:r>
              <w:rPr>
                <w:rFonts w:ascii="Arial" w:hAnsi="Arial" w:cs="Arial"/>
              </w:rPr>
              <w:t>3.NF.3</w:t>
            </w:r>
          </w:p>
        </w:tc>
        <w:tc>
          <w:tcPr>
            <w:tcW w:w="3012" w:type="dxa"/>
          </w:tcPr>
          <w:p w:rsidR="00782CCD" w:rsidRPr="00782CCD" w:rsidRDefault="00782CCD" w:rsidP="00A31142">
            <w:pPr>
              <w:rPr>
                <w:rFonts w:ascii="Arial" w:hAnsi="Arial" w:cs="Arial"/>
              </w:rPr>
            </w:pPr>
            <w:r>
              <w:rPr>
                <w:rFonts w:ascii="Arial" w:hAnsi="Arial" w:cs="Arial"/>
              </w:rPr>
              <w:t>4.NF.1</w:t>
            </w:r>
          </w:p>
          <w:p w:rsidR="002A7066" w:rsidRDefault="002A7066" w:rsidP="00A31142">
            <w:pPr>
              <w:rPr>
                <w:rFonts w:ascii="Arial" w:hAnsi="Arial" w:cs="Arial"/>
                <w:b/>
              </w:rPr>
            </w:pPr>
            <w:r w:rsidRPr="00782CCD">
              <w:rPr>
                <w:rFonts w:ascii="Arial" w:hAnsi="Arial" w:cs="Arial"/>
                <w:b/>
              </w:rPr>
              <w:t>4.NF.2</w:t>
            </w:r>
          </w:p>
          <w:p w:rsidR="00782CCD" w:rsidRPr="00782CCD" w:rsidRDefault="00782CCD" w:rsidP="00A31142">
            <w:pPr>
              <w:rPr>
                <w:rFonts w:ascii="Arial" w:hAnsi="Arial" w:cs="Arial"/>
              </w:rPr>
            </w:pPr>
            <w:r w:rsidRPr="00782CCD">
              <w:rPr>
                <w:rFonts w:ascii="Arial" w:hAnsi="Arial" w:cs="Arial"/>
              </w:rPr>
              <w:t>4.NF.7</w:t>
            </w:r>
          </w:p>
        </w:tc>
        <w:tc>
          <w:tcPr>
            <w:tcW w:w="3012" w:type="dxa"/>
          </w:tcPr>
          <w:p w:rsidR="002A7066" w:rsidRDefault="002A7066" w:rsidP="00A31142">
            <w:pPr>
              <w:rPr>
                <w:rFonts w:ascii="Arial" w:hAnsi="Arial" w:cs="Arial"/>
              </w:rPr>
            </w:pPr>
            <w:r>
              <w:rPr>
                <w:rFonts w:ascii="Arial" w:hAnsi="Arial" w:cs="Arial"/>
              </w:rPr>
              <w:t>5.NF.2</w:t>
            </w:r>
          </w:p>
          <w:p w:rsidR="002A7066" w:rsidRDefault="002A7066" w:rsidP="00A31142">
            <w:pPr>
              <w:rPr>
                <w:rFonts w:ascii="Arial" w:hAnsi="Arial" w:cs="Arial"/>
              </w:rPr>
            </w:pPr>
          </w:p>
        </w:tc>
      </w:tr>
    </w:tbl>
    <w:p w:rsidR="002A7066" w:rsidRDefault="002A7066" w:rsidP="00A31142">
      <w:pPr>
        <w:rPr>
          <w:rFonts w:ascii="Arial" w:hAnsi="Arial" w:cs="Arial"/>
        </w:rPr>
      </w:pPr>
    </w:p>
    <w:p w:rsidR="00D114ED" w:rsidRDefault="00D114ED" w:rsidP="00A31142">
      <w:pPr>
        <w:rPr>
          <w:rFonts w:ascii="Arial" w:hAnsi="Arial" w:cs="Arial"/>
        </w:rPr>
      </w:pPr>
    </w:p>
    <w:p w:rsidR="00D114ED" w:rsidRPr="0070645C" w:rsidRDefault="00D114ED" w:rsidP="00A31142">
      <w:pPr>
        <w:rPr>
          <w:rFonts w:ascii="Arial" w:hAnsi="Arial" w:cs="Arial"/>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2508D8" w:rsidP="00495FBB">
      <w:pPr>
        <w:rPr>
          <w:rFonts w:ascii="Arial" w:hAnsi="Arial" w:cs="Arial"/>
        </w:rPr>
      </w:pPr>
      <w:proofErr w:type="spellStart"/>
      <w:r w:rsidRPr="00270E84">
        <w:rPr>
          <w:rFonts w:ascii="Arial" w:hAnsi="Arial" w:cs="Arial"/>
          <w:highlight w:val="magenta"/>
        </w:rPr>
        <w:t>Powerpoint</w:t>
      </w:r>
      <w:proofErr w:type="spellEnd"/>
    </w:p>
    <w:p w:rsidR="001B29F2" w:rsidRDefault="00116EBA" w:rsidP="00495FBB">
      <w:pPr>
        <w:rPr>
          <w:rFonts w:ascii="Arial" w:hAnsi="Arial" w:cs="Arial"/>
        </w:rPr>
      </w:pPr>
      <w:r>
        <w:rPr>
          <w:rFonts w:ascii="Arial" w:hAnsi="Arial" w:cs="Arial"/>
        </w:rPr>
        <w:t xml:space="preserve">Quick Video for teachers from Illustrative Mathematics </w:t>
      </w:r>
      <w:hyperlink r:id="rId15" w:history="1">
        <w:r w:rsidRPr="00BB273A">
          <w:rPr>
            <w:rStyle w:val="Hyperlink"/>
            <w:rFonts w:ascii="Arial" w:hAnsi="Arial" w:cs="Arial"/>
          </w:rPr>
          <w:t>https://www.illustrativemathematics.org/fractions_progression</w:t>
        </w:r>
      </w:hyperlink>
      <w:r>
        <w:rPr>
          <w:rFonts w:ascii="Arial" w:hAnsi="Arial" w:cs="Arial"/>
        </w:rPr>
        <w:t xml:space="preserve"> </w:t>
      </w:r>
    </w:p>
    <w:p w:rsidR="00A91E4D" w:rsidRDefault="00A91E4D" w:rsidP="00495FBB">
      <w:pPr>
        <w:rPr>
          <w:rFonts w:ascii="Arial" w:hAnsi="Arial" w:cs="Arial"/>
        </w:rPr>
      </w:pPr>
      <w:r>
        <w:rPr>
          <w:rFonts w:ascii="Arial" w:hAnsi="Arial" w:cs="Arial"/>
        </w:rPr>
        <w:t xml:space="preserve">Teacher Guide for Glencoe’s Virtual Manipulatives: </w:t>
      </w:r>
      <w:hyperlink r:id="rId16" w:history="1">
        <w:r w:rsidRPr="00BB273A">
          <w:rPr>
            <w:rStyle w:val="Hyperlink"/>
            <w:rFonts w:ascii="Arial" w:hAnsi="Arial" w:cs="Arial"/>
          </w:rPr>
          <w:t>https://grade4commoncoremath.wikispaces.hcpss.org/file/view/Directions%20for%20Virtual%20Manipulatives%204.NF.2.pdf/516500914/Directions%20for%20Virtual%20Manipulatives%204.NF.2.pdf</w:t>
        </w:r>
      </w:hyperlink>
    </w:p>
    <w:p w:rsidR="00A91E4D" w:rsidRDefault="00A91E4D" w:rsidP="00495FBB">
      <w:pPr>
        <w:rPr>
          <w:rFonts w:ascii="Arial" w:hAnsi="Arial" w:cs="Arial"/>
        </w:rPr>
      </w:pPr>
      <w:r>
        <w:rPr>
          <w:rFonts w:ascii="Arial" w:hAnsi="Arial" w:cs="Arial"/>
        </w:rPr>
        <w:t xml:space="preserve">A variety of virtual manipulatives from the National Library of Virtual Manipulatives: </w:t>
      </w:r>
      <w:hyperlink r:id="rId17" w:history="1">
        <w:r w:rsidRPr="00BB273A">
          <w:rPr>
            <w:rStyle w:val="Hyperlink"/>
            <w:rFonts w:ascii="Arial" w:hAnsi="Arial" w:cs="Arial"/>
          </w:rPr>
          <w:t>http://nlvm.usu.edu/en/nav/grade_g_2.html</w:t>
        </w:r>
      </w:hyperlink>
      <w:r>
        <w:rPr>
          <w:rFonts w:ascii="Arial" w:hAnsi="Arial" w:cs="Arial"/>
        </w:rPr>
        <w:t xml:space="preserve"> </w:t>
      </w:r>
    </w:p>
    <w:p w:rsidR="00116EBA" w:rsidRPr="00B75A6D" w:rsidRDefault="00116EBA" w:rsidP="00495FBB">
      <w:pPr>
        <w:rPr>
          <w:rFonts w:ascii="Arial" w:hAnsi="Arial" w:cs="Arial"/>
        </w:rPr>
      </w:pPr>
    </w:p>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361009" w:rsidRDefault="002A7066" w:rsidP="002A7066">
      <w:pPr>
        <w:pStyle w:val="ListParagraph"/>
        <w:numPr>
          <w:ilvl w:val="0"/>
          <w:numId w:val="16"/>
        </w:numPr>
        <w:rPr>
          <w:rFonts w:ascii="Arial" w:hAnsi="Arial" w:cs="Arial"/>
        </w:rPr>
      </w:pPr>
      <w:r>
        <w:rPr>
          <w:rFonts w:ascii="Arial" w:hAnsi="Arial" w:cs="Arial"/>
        </w:rPr>
        <w:t>Amanda has 2/8 of a bag of candy filled.  Sula has 1/3 of the same size bag of candy filled.  If Amanda and Sula combine their bags are they equivalent, less than or more than ½? ¾? 1?</w:t>
      </w:r>
      <w:r w:rsidR="00F14A19">
        <w:rPr>
          <w:rFonts w:ascii="Arial" w:hAnsi="Arial" w:cs="Arial"/>
        </w:rPr>
        <w:t xml:space="preserve">  Explain your reasoning.</w:t>
      </w:r>
    </w:p>
    <w:p w:rsidR="001A25F1" w:rsidRPr="001A25F1" w:rsidRDefault="001A25F1" w:rsidP="001A25F1">
      <w:pPr>
        <w:pStyle w:val="ListParagraph"/>
        <w:numPr>
          <w:ilvl w:val="0"/>
          <w:numId w:val="16"/>
        </w:numPr>
        <w:rPr>
          <w:rFonts w:ascii="Arial" w:hAnsi="Arial" w:cs="Arial"/>
        </w:rPr>
      </w:pPr>
      <w:r w:rsidRPr="001A25F1">
        <w:rPr>
          <w:rFonts w:ascii="Arial" w:hAnsi="Arial" w:cs="Arial"/>
        </w:rPr>
        <w:t>How does the value of a fraction change if you double its numerator?  Explain your answer.  How does the value of a fraction change if you double its de</w:t>
      </w:r>
      <w:r>
        <w:rPr>
          <w:rFonts w:ascii="Arial" w:hAnsi="Arial" w:cs="Arial"/>
        </w:rPr>
        <w:t>nominator?  Explain your answer</w:t>
      </w:r>
      <w:r w:rsidRPr="001A25F1">
        <w:rPr>
          <w:rFonts w:ascii="Arial" w:hAnsi="Arial" w:cs="Arial"/>
        </w:rPr>
        <w:t xml:space="preserve">.  </w:t>
      </w:r>
      <w:hyperlink r:id="rId18" w:history="1">
        <w:r w:rsidRPr="00654DFB">
          <w:rPr>
            <w:rStyle w:val="Hyperlink"/>
            <w:rFonts w:ascii="Arial" w:hAnsi="Arial" w:cs="Arial"/>
          </w:rPr>
          <w:t>https://www.illustrativemathematics.org/illustrations/183</w:t>
        </w:r>
      </w:hyperlink>
      <w:r>
        <w:rPr>
          <w:rFonts w:ascii="Arial" w:hAnsi="Arial" w:cs="Arial"/>
        </w:rPr>
        <w:t xml:space="preserve"> </w:t>
      </w:r>
    </w:p>
    <w:p w:rsidR="00361009" w:rsidRPr="001A25F1" w:rsidRDefault="001A25F1" w:rsidP="000F030A">
      <w:pPr>
        <w:pStyle w:val="ListParagraph"/>
        <w:numPr>
          <w:ilvl w:val="0"/>
          <w:numId w:val="16"/>
        </w:numPr>
        <w:rPr>
          <w:rFonts w:ascii="Arial" w:hAnsi="Arial" w:cs="Arial"/>
        </w:rPr>
      </w:pPr>
      <w:r>
        <w:rPr>
          <w:rFonts w:ascii="Arial" w:hAnsi="Arial" w:cs="Arial"/>
        </w:rPr>
        <w:t>List the following fractions in order from greatest to least: 2/3, 3/5, 7/8, ½, 4/7.  Use visual fraction models to support your answer.</w:t>
      </w:r>
    </w:p>
    <w:p w:rsidR="00361009" w:rsidRDefault="00361009" w:rsidP="000F030A"/>
    <w:p w:rsidR="006B77A9" w:rsidRDefault="006B77A9" w:rsidP="000F030A">
      <w:r w:rsidRPr="00C17271">
        <w:rPr>
          <w:noProof/>
        </w:rPr>
        <mc:AlternateContent>
          <mc:Choice Requires="wps">
            <w:drawing>
              <wp:anchor distT="0" distB="0" distL="114300" distR="114300" simplePos="0" relativeHeight="251682816" behindDoc="0" locked="0" layoutInCell="1" allowOverlap="1" wp14:anchorId="1342A4EE" wp14:editId="7EBDEAAA">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KqwIAAMoFAAAOAAAAZHJzL2Uyb0RvYy54bWysVN1v2jAQf5+0/8Hy+whBQFfUUKFWTJO6&#10;FrWd+mwcm0SyfZ5tSNhfv7MTUtR1e5jGQ7jP33347q6uW63IQThfgyloPhpTIgyHsja7gn5/Xn/6&#10;TIkPzJRMgREFPQpPr5cfP1w1diEmUIEqhSMIYvyisQWtQrCLLPO8Epr5EVhhUCnBaRaQdbusdKxB&#10;dK2yyXg8zxpwpXXAhfcove2UdJnwpRQ8PEjpRSCqoJhbSF+Xvtv4zZZXbLFzzFY179Ng/5CFZrXB&#10;oAPULQuM7F39G5SuuQMPMow46AykrLlINWA1+fhNNU8VsyLVgs3xdmiT/3+w/P6wcaQuCzqnxDCN&#10;T/QIe1OKkjxi85jZKUHmsU2N9Qu0frIb13MeyVhzK52O/1gNaVNrj0NrRRsIR+E8n1zk+YwSjrrZ&#10;JL+8SL3PXr2t8+GLAE0iUVAXs4gppLayw50PGBbtT3YxogdVl+taqcTEmRE3ypEDw9dmnAsTpsld&#10;7fU3KDv5fIy/7t1RjNPRiacnMYZI0xeRUsCzIFlsQld2osJRiRhamUchsYtY6CQFHBDOc8k7VcVK&#10;0Ylnf4yZACOyxOIG7B7gvTrzWBGm3ttHV5HGf3Ae/y2xznnwSJHBhMFZ1wbcewAqDJE7e8zirDWR&#10;DO227SesH5wtlEecOgfdOnrL1zU++h3zYcMc7h9uKt6U8IAfqaApKPQUJRW4n+/Joz2uBWopaXCf&#10;C+p/7JkTlKivBhfmMp9O4wFIzHR2MUHGnWu25xqz1zeAQ5Tj9bI8kdE+qBMpHegXPD2rGBVVzHCM&#10;XVAe3Im5Cd2dwePFxWqVzHDpLQt35snyCB77HOf5uX1hzvaTH3Bn7uG0+2zxZvY72+hpYLUPIOu0&#10;GLHTXV/7F8CDkSaiP27xIp3zyer1BC9/AQAA//8DAFBLAwQUAAYACAAAACEAyLC0yeIAAAAJAQAA&#10;DwAAAGRycy9kb3ducmV2LnhtbEyPwU7DMBBE70j8g7VIXFDrlJAGQpwKqKjEgUppEXB04yWOiNch&#10;dtLw95gTHFfzNPM2X02mZSP2rrEkYDGPgCFVVjVUC3jZP86ugTkvScnWEgr4Rger4vQkl5myRypx&#10;3PmahRJymRSgve8yzl2l0Ug3tx1SyD5sb6QPZ19z1ctjKDctv4yiJTeyobCgZYcPGqvP3WAEbNKx&#10;2z99mfXb9v3iGV9LPdyvSyHOz6a7W2AeJ/8Hw69+UIciOB3sQMqxVsAsvQqkgDiOgYX8JkkTYIcA&#10;LpIEeJHz/x8UPwAAAP//AwBQSwECLQAUAAYACAAAACEAtoM4kv4AAADhAQAAEwAAAAAAAAAAAAAA&#10;AAAAAAAAW0NvbnRlbnRfVHlwZXNdLnhtbFBLAQItABQABgAIAAAAIQA4/SH/1gAAAJQBAAALAAAA&#10;AAAAAAAAAAAAAC8BAABfcmVscy8ucmVsc1BLAQItABQABgAIAAAAIQDnYcIKqwIAAMoFAAAOAAAA&#10;AAAAAAAAAAAAAC4CAABkcnMvZTJvRG9jLnhtbFBLAQItABQABgAIAAAAIQDIsLTJ4gAAAAkBAAAP&#10;AAAAAAAAAAAAAAAAAAUFAABkcnMvZG93bnJldi54bWxQSwUGAAAAAAQABADzAAAAFAY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AC6F7D" w:rsidRDefault="00AC6F7D"/>
    <w:p w:rsidR="001B29F2" w:rsidRDefault="00453937">
      <w:hyperlink r:id="rId19" w:history="1">
        <w:r w:rsidR="00023AD7" w:rsidRPr="00BB273A">
          <w:rPr>
            <w:rStyle w:val="Hyperlink"/>
          </w:rPr>
          <w:t>https://www.illustrativemathematics.org/illustrations/812</w:t>
        </w:r>
      </w:hyperlink>
    </w:p>
    <w:p w:rsidR="00023AD7" w:rsidRDefault="00453937">
      <w:hyperlink r:id="rId20" w:history="1">
        <w:r w:rsidR="00023AD7" w:rsidRPr="00BB273A">
          <w:rPr>
            <w:rStyle w:val="Hyperlink"/>
          </w:rPr>
          <w:t>https://www.illustrativemathematics.org/illustrations/811</w:t>
        </w:r>
      </w:hyperlink>
    </w:p>
    <w:p w:rsidR="00116EBA" w:rsidRDefault="00453937">
      <w:hyperlink r:id="rId21" w:history="1">
        <w:r w:rsidR="00116EBA" w:rsidRPr="00BB273A">
          <w:rPr>
            <w:rStyle w:val="Hyperlink"/>
          </w:rPr>
          <w:t>https://learnzillion.com/lessonsets/7-compare-fractions-of-different-types</w:t>
        </w:r>
      </w:hyperlink>
    </w:p>
    <w:p w:rsidR="00116EBA" w:rsidRDefault="00116EBA">
      <w:r>
        <w:lastRenderedPageBreak/>
        <w:t xml:space="preserve">Fraction Card Game: </w:t>
      </w:r>
      <w:hyperlink r:id="rId22" w:history="1">
        <w:r w:rsidRPr="00BB273A">
          <w:rPr>
            <w:rStyle w:val="Hyperlink"/>
          </w:rPr>
          <w:t>https://grade4commoncoremath.wikispaces.hcpss.org/file/view/4.NF.2_FractionCardGames.pdf/457305362/4.NF.2_FractionCardGames.pdf</w:t>
        </w:r>
      </w:hyperlink>
    </w:p>
    <w:p w:rsidR="00116EBA" w:rsidRDefault="00453937">
      <w:hyperlink r:id="rId23" w:history="1">
        <w:r w:rsidR="00116EBA" w:rsidRPr="00BB273A">
          <w:rPr>
            <w:rStyle w:val="Hyperlink"/>
          </w:rPr>
          <w:t>http://www.k-5mathteachingresources.com/support-files/birthday-fractions-4nf2.pdf</w:t>
        </w:r>
      </w:hyperlink>
    </w:p>
    <w:p w:rsidR="00116EBA" w:rsidRDefault="00453937">
      <w:hyperlink r:id="rId24" w:history="1">
        <w:r w:rsidR="00116EBA" w:rsidRPr="00BB273A">
          <w:rPr>
            <w:rStyle w:val="Hyperlink"/>
          </w:rPr>
          <w:t>http://www.k-5mathteachingresources.com/support-files/pattern-block-fractions-4nf2.pdf</w:t>
        </w:r>
      </w:hyperlink>
    </w:p>
    <w:p w:rsidR="00116EBA" w:rsidRDefault="00453937">
      <w:hyperlink r:id="rId25" w:history="1">
        <w:r w:rsidR="00116EBA" w:rsidRPr="00BB273A">
          <w:rPr>
            <w:rStyle w:val="Hyperlink"/>
          </w:rPr>
          <w:t>http://illuminations.nctm.org/Lesson.aspx?id=1728</w:t>
        </w:r>
      </w:hyperlink>
    </w:p>
    <w:p w:rsidR="00116EBA" w:rsidRDefault="00453937">
      <w:hyperlink r:id="rId26" w:history="1">
        <w:r w:rsidR="00116EBA" w:rsidRPr="00BB273A">
          <w:rPr>
            <w:rStyle w:val="Hyperlink"/>
          </w:rPr>
          <w:t>http://www.pbslearningmedia.org/resource/vtl07.math.number.nums.lpnumbline/locating-and-ordering-equivalent-fractions-on-the-number-line/</w:t>
        </w:r>
      </w:hyperlink>
    </w:p>
    <w:p w:rsidR="00116EBA" w:rsidRDefault="00453937">
      <w:hyperlink r:id="rId27" w:history="1">
        <w:r w:rsidR="00116EBA" w:rsidRPr="00BB273A">
          <w:rPr>
            <w:rStyle w:val="Hyperlink"/>
          </w:rPr>
          <w:t>https://grade4commoncoremath.wikispaces.hcpss.org/file/view/More%20or%20Less.pdf/402794796/More%20or%20Less.pdf</w:t>
        </w:r>
      </w:hyperlink>
    </w:p>
    <w:p w:rsidR="00116EBA" w:rsidRDefault="00453937">
      <w:hyperlink r:id="rId28" w:history="1">
        <w:r w:rsidR="00A91E4D" w:rsidRPr="00BB273A">
          <w:rPr>
            <w:rStyle w:val="Hyperlink"/>
          </w:rPr>
          <w:t>https://grade4commoncoremath.wikispaces.hcpss.org/file/view/4.NF.1_4.NF.2_FractionBuckets.pdf/457305264/4.NF.1_4.NF.2_FractionBuckets.pdf</w:t>
        </w:r>
      </w:hyperlink>
    </w:p>
    <w:p w:rsidR="00A91E4D" w:rsidRDefault="00A91E4D"/>
    <w:p w:rsidR="001B29F2" w:rsidRDefault="001B29F2"/>
    <w:sectPr w:rsidR="001B29F2" w:rsidSect="00BB288A">
      <w:pgSz w:w="12240" w:h="15840"/>
      <w:pgMar w:top="1440" w:right="19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9.5pt;height:25.5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0656"/>
    <w:multiLevelType w:val="hybridMultilevel"/>
    <w:tmpl w:val="32CA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181350"/>
    <w:multiLevelType w:val="multilevel"/>
    <w:tmpl w:val="0BB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90862"/>
    <w:multiLevelType w:val="hybridMultilevel"/>
    <w:tmpl w:val="7250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4"/>
  </w:num>
  <w:num w:numId="6">
    <w:abstractNumId w:val="8"/>
  </w:num>
  <w:num w:numId="7">
    <w:abstractNumId w:val="3"/>
  </w:num>
  <w:num w:numId="8">
    <w:abstractNumId w:val="5"/>
  </w:num>
  <w:num w:numId="9">
    <w:abstractNumId w:val="13"/>
  </w:num>
  <w:num w:numId="10">
    <w:abstractNumId w:val="14"/>
  </w:num>
  <w:num w:numId="11">
    <w:abstractNumId w:val="12"/>
  </w:num>
  <w:num w:numId="12">
    <w:abstractNumId w:val="9"/>
  </w:num>
  <w:num w:numId="13">
    <w:abstractNumId w:val="0"/>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2158F"/>
    <w:rsid w:val="00023AD7"/>
    <w:rsid w:val="0008104C"/>
    <w:rsid w:val="000F030A"/>
    <w:rsid w:val="0011269A"/>
    <w:rsid w:val="00116EBA"/>
    <w:rsid w:val="001341DA"/>
    <w:rsid w:val="00153BA1"/>
    <w:rsid w:val="00157785"/>
    <w:rsid w:val="00160BF7"/>
    <w:rsid w:val="00175770"/>
    <w:rsid w:val="001A25F1"/>
    <w:rsid w:val="001B29F2"/>
    <w:rsid w:val="001D7EAD"/>
    <w:rsid w:val="00221D8A"/>
    <w:rsid w:val="002508D8"/>
    <w:rsid w:val="00263EBF"/>
    <w:rsid w:val="00270E84"/>
    <w:rsid w:val="002916E8"/>
    <w:rsid w:val="00292923"/>
    <w:rsid w:val="002A5A21"/>
    <w:rsid w:val="002A7066"/>
    <w:rsid w:val="002B1C47"/>
    <w:rsid w:val="0032664C"/>
    <w:rsid w:val="00335F98"/>
    <w:rsid w:val="00361009"/>
    <w:rsid w:val="00387770"/>
    <w:rsid w:val="0039468A"/>
    <w:rsid w:val="003E47D4"/>
    <w:rsid w:val="003F7834"/>
    <w:rsid w:val="0041470D"/>
    <w:rsid w:val="00453937"/>
    <w:rsid w:val="00465F2A"/>
    <w:rsid w:val="00477EB3"/>
    <w:rsid w:val="004817CB"/>
    <w:rsid w:val="00490C86"/>
    <w:rsid w:val="00495FBB"/>
    <w:rsid w:val="004A1DF9"/>
    <w:rsid w:val="004C5248"/>
    <w:rsid w:val="004E11B5"/>
    <w:rsid w:val="00506C6D"/>
    <w:rsid w:val="005172BD"/>
    <w:rsid w:val="0055200E"/>
    <w:rsid w:val="005E2C18"/>
    <w:rsid w:val="00614751"/>
    <w:rsid w:val="00625986"/>
    <w:rsid w:val="006B3DBE"/>
    <w:rsid w:val="006B5919"/>
    <w:rsid w:val="006B77A9"/>
    <w:rsid w:val="006E367C"/>
    <w:rsid w:val="006E5101"/>
    <w:rsid w:val="0070645C"/>
    <w:rsid w:val="00742915"/>
    <w:rsid w:val="0075444F"/>
    <w:rsid w:val="00754A24"/>
    <w:rsid w:val="00757685"/>
    <w:rsid w:val="00782CCD"/>
    <w:rsid w:val="00783CC2"/>
    <w:rsid w:val="007B11B8"/>
    <w:rsid w:val="007B1CBA"/>
    <w:rsid w:val="007D07ED"/>
    <w:rsid w:val="007E530C"/>
    <w:rsid w:val="00804F24"/>
    <w:rsid w:val="008146AF"/>
    <w:rsid w:val="0082090E"/>
    <w:rsid w:val="00834144"/>
    <w:rsid w:val="0087668B"/>
    <w:rsid w:val="008B381C"/>
    <w:rsid w:val="008E3C2D"/>
    <w:rsid w:val="00924606"/>
    <w:rsid w:val="009C057C"/>
    <w:rsid w:val="009E3B91"/>
    <w:rsid w:val="00A00C50"/>
    <w:rsid w:val="00A018C0"/>
    <w:rsid w:val="00A02674"/>
    <w:rsid w:val="00A31142"/>
    <w:rsid w:val="00A6483D"/>
    <w:rsid w:val="00A74055"/>
    <w:rsid w:val="00A74A03"/>
    <w:rsid w:val="00A87DFE"/>
    <w:rsid w:val="00A91E4D"/>
    <w:rsid w:val="00AC1640"/>
    <w:rsid w:val="00AC2D3E"/>
    <w:rsid w:val="00AC6F7D"/>
    <w:rsid w:val="00AE0798"/>
    <w:rsid w:val="00AE1E52"/>
    <w:rsid w:val="00B34C3F"/>
    <w:rsid w:val="00B37F6E"/>
    <w:rsid w:val="00B501CE"/>
    <w:rsid w:val="00B75A6D"/>
    <w:rsid w:val="00BB14B1"/>
    <w:rsid w:val="00BB288A"/>
    <w:rsid w:val="00C20CE1"/>
    <w:rsid w:val="00C222BB"/>
    <w:rsid w:val="00C22731"/>
    <w:rsid w:val="00C64933"/>
    <w:rsid w:val="00C94FD3"/>
    <w:rsid w:val="00CD29C1"/>
    <w:rsid w:val="00CF4B10"/>
    <w:rsid w:val="00D06C46"/>
    <w:rsid w:val="00D114ED"/>
    <w:rsid w:val="00D562F1"/>
    <w:rsid w:val="00DB5A35"/>
    <w:rsid w:val="00DB634A"/>
    <w:rsid w:val="00E123FF"/>
    <w:rsid w:val="00E20F21"/>
    <w:rsid w:val="00E26EDC"/>
    <w:rsid w:val="00ED1FFE"/>
    <w:rsid w:val="00EF7D00"/>
    <w:rsid w:val="00F14A19"/>
    <w:rsid w:val="00F8663D"/>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2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2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3920">
      <w:bodyDiv w:val="1"/>
      <w:marLeft w:val="0"/>
      <w:marRight w:val="0"/>
      <w:marTop w:val="0"/>
      <w:marBottom w:val="0"/>
      <w:divBdr>
        <w:top w:val="none" w:sz="0" w:space="0" w:color="auto"/>
        <w:left w:val="none" w:sz="0" w:space="0" w:color="auto"/>
        <w:bottom w:val="none" w:sz="0" w:space="0" w:color="auto"/>
        <w:right w:val="none" w:sz="0" w:space="0" w:color="auto"/>
      </w:divBdr>
    </w:div>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380205155">
      <w:bodyDiv w:val="1"/>
      <w:marLeft w:val="0"/>
      <w:marRight w:val="0"/>
      <w:marTop w:val="0"/>
      <w:marBottom w:val="0"/>
      <w:divBdr>
        <w:top w:val="none" w:sz="0" w:space="0" w:color="auto"/>
        <w:left w:val="none" w:sz="0" w:space="0" w:color="auto"/>
        <w:bottom w:val="none" w:sz="0" w:space="0" w:color="auto"/>
        <w:right w:val="none" w:sz="0" w:space="0" w:color="auto"/>
      </w:divBdr>
    </w:div>
    <w:div w:id="1556509087">
      <w:bodyDiv w:val="1"/>
      <w:marLeft w:val="0"/>
      <w:marRight w:val="0"/>
      <w:marTop w:val="0"/>
      <w:marBottom w:val="0"/>
      <w:divBdr>
        <w:top w:val="none" w:sz="0" w:space="0" w:color="auto"/>
        <w:left w:val="none" w:sz="0" w:space="0" w:color="auto"/>
        <w:bottom w:val="none" w:sz="0" w:space="0" w:color="auto"/>
        <w:right w:val="none" w:sz="0" w:space="0" w:color="auto"/>
      </w:divBdr>
    </w:div>
    <w:div w:id="1578859360">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1690524412">
      <w:bodyDiv w:val="1"/>
      <w:marLeft w:val="0"/>
      <w:marRight w:val="0"/>
      <w:marTop w:val="0"/>
      <w:marBottom w:val="0"/>
      <w:divBdr>
        <w:top w:val="none" w:sz="0" w:space="0" w:color="auto"/>
        <w:left w:val="none" w:sz="0" w:space="0" w:color="auto"/>
        <w:bottom w:val="none" w:sz="0" w:space="0" w:color="auto"/>
        <w:right w:val="none" w:sz="0" w:space="0" w:color="auto"/>
      </w:divBdr>
    </w:div>
    <w:div w:id="1866942060">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katm.org/wp/wp-content/uploads/flipbooks/4FlipBookedited.pdf" TargetMode="External"/><Relationship Id="rId18" Type="http://schemas.openxmlformats.org/officeDocument/2006/relationships/hyperlink" Target="https://www.illustrativemathematics.org/illustrations/183" TargetMode="External"/><Relationship Id="rId26" Type="http://schemas.openxmlformats.org/officeDocument/2006/relationships/hyperlink" Target="http://www.pbslearningmedia.org/resource/vtl07.math.number.nums.lpnumbline/locating-and-ordering-equivalent-fractions-on-the-number-line/" TargetMode="External"/><Relationship Id="rId3" Type="http://schemas.microsoft.com/office/2007/relationships/stylesWithEffects" Target="stylesWithEffects.xml"/><Relationship Id="rId21" Type="http://schemas.openxmlformats.org/officeDocument/2006/relationships/hyperlink" Target="https://learnzillion.com/lessonsets/7-compare-fractions-of-different-types" TargetMode="External"/><Relationship Id="rId7" Type="http://schemas.openxmlformats.org/officeDocument/2006/relationships/hyperlink" Target="https://grade4commoncoremath.wikispaces.hcpss.org/4.NF.2" TargetMode="External"/><Relationship Id="rId12" Type="http://schemas.openxmlformats.org/officeDocument/2006/relationships/hyperlink" Target="mailto:melisa@ksu.edu" TargetMode="External"/><Relationship Id="rId17" Type="http://schemas.openxmlformats.org/officeDocument/2006/relationships/hyperlink" Target="http://nlvm.usu.edu/en/nav/grade_g_2.html" TargetMode="External"/><Relationship Id="rId25" Type="http://schemas.openxmlformats.org/officeDocument/2006/relationships/hyperlink" Target="http://illuminations.nctm.org/Lesson.aspx?id=1728" TargetMode="External"/><Relationship Id="rId2" Type="http://schemas.openxmlformats.org/officeDocument/2006/relationships/styles" Target="styles.xml"/><Relationship Id="rId16" Type="http://schemas.openxmlformats.org/officeDocument/2006/relationships/hyperlink" Target="https://grade4commoncoremath.wikispaces.hcpss.org/file/view/Directions%20for%20Virtual%20Manipulatives%204.NF.2.pdf/516500914/Directions%20for%20Virtual%20Manipulatives%204.NF.2.pdf" TargetMode="External"/><Relationship Id="rId20" Type="http://schemas.openxmlformats.org/officeDocument/2006/relationships/hyperlink" Target="https://www.illustrativemathematics.org/illustrations/8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www.k-5mathteachingresources.com/support-files/pattern-block-fractions-4nf2.pdf" TargetMode="External"/><Relationship Id="rId5" Type="http://schemas.openxmlformats.org/officeDocument/2006/relationships/webSettings" Target="webSettings.xml"/><Relationship Id="rId15" Type="http://schemas.openxmlformats.org/officeDocument/2006/relationships/hyperlink" Target="https://www.illustrativemathematics.org/fractions_progression" TargetMode="External"/><Relationship Id="rId23" Type="http://schemas.openxmlformats.org/officeDocument/2006/relationships/hyperlink" Target="http://www.k-5mathteachingresources.com/support-files/birthday-fractions-4nf2.pdf" TargetMode="External"/><Relationship Id="rId28" Type="http://schemas.openxmlformats.org/officeDocument/2006/relationships/hyperlink" Target="https://grade4commoncoremath.wikispaces.hcpss.org/file/view/4.NF.1_4.NF.2_FractionBuckets.pdf/457305264/4.NF.1_4.NF.2_FractionBuckets.pdf" TargetMode="External"/><Relationship Id="rId10" Type="http://schemas.openxmlformats.org/officeDocument/2006/relationships/image" Target="media/image5.PNG"/><Relationship Id="rId19" Type="http://schemas.openxmlformats.org/officeDocument/2006/relationships/hyperlink" Target="https://www.illustrativemathematics.org/illustrations/812"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parcconline.org/assessment-blueprints-test-specs" TargetMode="External"/><Relationship Id="rId22" Type="http://schemas.openxmlformats.org/officeDocument/2006/relationships/hyperlink" Target="https://grade4commoncoremath.wikispaces.hcpss.org/file/view/4.NF.2_FractionCardGames.pdf/457305362/4.NF.2_FractionCardGames.pdf" TargetMode="External"/><Relationship Id="rId27" Type="http://schemas.openxmlformats.org/officeDocument/2006/relationships/hyperlink" Target="https://grade4commoncoremath.wikispaces.hcpss.org/file/view/More%20or%20Less.pdf/402794796/More%20or%20Less.pd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dcterms:created xsi:type="dcterms:W3CDTF">2014-08-28T15:19:00Z</dcterms:created>
  <dcterms:modified xsi:type="dcterms:W3CDTF">2014-09-08T14:38:00Z</dcterms:modified>
</cp:coreProperties>
</file>